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6ED20" w14:textId="584B236B" w:rsidR="00567B52" w:rsidRPr="00594F2B" w:rsidRDefault="00526409" w:rsidP="00567B52">
      <w:pPr>
        <w:pStyle w:val="Default"/>
        <w:rPr>
          <w:b/>
          <w:bCs/>
        </w:rPr>
      </w:pPr>
      <w:r w:rsidRPr="00594F2B">
        <w:rPr>
          <w:b/>
          <w:bCs/>
        </w:rPr>
        <w:t>Abstract</w:t>
      </w:r>
    </w:p>
    <w:p w14:paraId="56E5B9C0" w14:textId="77777777" w:rsidR="005A4C42" w:rsidRPr="00594F2B" w:rsidRDefault="005A4C42" w:rsidP="007D5BFE">
      <w:pPr>
        <w:pStyle w:val="Default"/>
        <w:spacing w:line="480" w:lineRule="auto"/>
        <w:jc w:val="both"/>
      </w:pPr>
    </w:p>
    <w:p w14:paraId="5933CCED" w14:textId="2D15403E" w:rsidR="00567B52" w:rsidRPr="00CD13F7" w:rsidRDefault="00C60BC1" w:rsidP="00CD13F7">
      <w:pPr>
        <w:pStyle w:val="Default"/>
        <w:spacing w:line="480" w:lineRule="auto"/>
        <w:jc w:val="both"/>
        <w:rPr>
          <w:rFonts w:cs="Arial"/>
          <w:lang w:bidi="fa-IR"/>
        </w:rPr>
      </w:pPr>
      <w:r>
        <w:t xml:space="preserve">Why do some biotech firms outperform others in </w:t>
      </w:r>
      <w:r w:rsidR="00E00E85">
        <w:t>obtaining</w:t>
      </w:r>
      <w:r>
        <w:t xml:space="preserve"> </w:t>
      </w:r>
      <w:r w:rsidR="009A5CC6">
        <w:t xml:space="preserve">large amounts of financial capital </w:t>
      </w:r>
      <w:r w:rsidR="00E00E85">
        <w:t>from their</w:t>
      </w:r>
      <w:r w:rsidR="009A5CC6">
        <w:t xml:space="preserve"> ‘Big Pharma’ </w:t>
      </w:r>
      <w:r w:rsidR="00E00E85">
        <w:t>partners</w:t>
      </w:r>
      <w:r w:rsidR="009A5CC6">
        <w:t xml:space="preserve">? </w:t>
      </w:r>
      <w:r w:rsidR="005A4C42" w:rsidRPr="00594F2B">
        <w:t>Of particular interest to researchers and practitioners, this question has been stud</w:t>
      </w:r>
      <w:bookmarkStart w:id="0" w:name="_GoBack"/>
      <w:bookmarkEnd w:id="0"/>
      <w:r w:rsidR="005A4C42" w:rsidRPr="00594F2B">
        <w:t xml:space="preserve">ied in the strategy and technology management </w:t>
      </w:r>
      <w:r w:rsidR="009A5CC6" w:rsidRPr="00594F2B">
        <w:t>literature but</w:t>
      </w:r>
      <w:r w:rsidR="00B03A75" w:rsidRPr="00594F2B">
        <w:t xml:space="preserve"> has yielded</w:t>
      </w:r>
      <w:r w:rsidR="005A4C42" w:rsidRPr="00594F2B">
        <w:t xml:space="preserve"> mixed findings. </w:t>
      </w:r>
      <w:r w:rsidR="00B03A75" w:rsidRPr="00594F2B">
        <w:t>W</w:t>
      </w:r>
      <w:r w:rsidR="00526409" w:rsidRPr="00594F2B">
        <w:t>e address a specific form of this question</w:t>
      </w:r>
      <w:r w:rsidR="002726EF">
        <w:t>:</w:t>
      </w:r>
      <w:r w:rsidR="00526409" w:rsidRPr="00594F2B">
        <w:t xml:space="preserve"> </w:t>
      </w:r>
      <w:r w:rsidR="002726EF" w:rsidRPr="00487E5D">
        <w:t>Does</w:t>
      </w:r>
      <w:r w:rsidR="00B918EE" w:rsidRPr="00487E5D">
        <w:t xml:space="preserve"> </w:t>
      </w:r>
      <w:r w:rsidR="00526409" w:rsidRPr="00487E5D">
        <w:rPr>
          <w:rFonts w:cs="Arial"/>
          <w:lang w:bidi="fa-IR"/>
        </w:rPr>
        <w:t xml:space="preserve">the depth and the breadth of technological resources of a biotech firm </w:t>
      </w:r>
      <w:r w:rsidR="00B918EE" w:rsidRPr="00487E5D">
        <w:rPr>
          <w:rFonts w:cs="Arial"/>
          <w:lang w:bidi="fa-IR"/>
        </w:rPr>
        <w:t xml:space="preserve">influence the </w:t>
      </w:r>
      <w:r w:rsidR="00526409" w:rsidRPr="00487E5D">
        <w:rPr>
          <w:rFonts w:cs="Arial"/>
          <w:lang w:bidi="fa-IR"/>
        </w:rPr>
        <w:t xml:space="preserve">amount of financial capital it </w:t>
      </w:r>
      <w:r w:rsidR="009A5CC6" w:rsidRPr="00487E5D">
        <w:rPr>
          <w:rFonts w:cs="Arial"/>
          <w:lang w:bidi="fa-IR"/>
        </w:rPr>
        <w:t>raises</w:t>
      </w:r>
      <w:r w:rsidR="00526409" w:rsidRPr="00487E5D">
        <w:rPr>
          <w:rFonts w:cs="Arial"/>
          <w:lang w:bidi="fa-IR"/>
        </w:rPr>
        <w:t xml:space="preserve"> </w:t>
      </w:r>
      <w:r w:rsidR="009A5CC6" w:rsidRPr="00487E5D">
        <w:rPr>
          <w:rFonts w:cs="Arial"/>
          <w:lang w:bidi="fa-IR"/>
        </w:rPr>
        <w:t xml:space="preserve">through an alliance with a larger pharma </w:t>
      </w:r>
      <w:r w:rsidR="002726EF" w:rsidRPr="00487E5D">
        <w:rPr>
          <w:rFonts w:cs="Arial"/>
          <w:lang w:bidi="fa-IR"/>
        </w:rPr>
        <w:t>partner?</w:t>
      </w:r>
      <w:r w:rsidR="00526409" w:rsidRPr="00487E5D">
        <w:rPr>
          <w:rFonts w:cs="Arial"/>
          <w:lang w:bidi="fa-IR"/>
        </w:rPr>
        <w:t xml:space="preserve"> We f</w:t>
      </w:r>
      <w:r w:rsidR="007D5BFE" w:rsidRPr="00487E5D">
        <w:rPr>
          <w:rFonts w:cs="Arial"/>
          <w:lang w:bidi="fa-IR"/>
        </w:rPr>
        <w:t>ind that “</w:t>
      </w:r>
      <w:r w:rsidR="0001262F" w:rsidRPr="00487E5D">
        <w:rPr>
          <w:rFonts w:cs="Arial"/>
          <w:lang w:bidi="fa-IR"/>
        </w:rPr>
        <w:t>technological</w:t>
      </w:r>
      <w:r w:rsidR="007D5BFE" w:rsidRPr="00487E5D">
        <w:rPr>
          <w:rFonts w:cs="Arial"/>
          <w:lang w:bidi="fa-IR"/>
        </w:rPr>
        <w:t xml:space="preserve"> depth</w:t>
      </w:r>
      <w:r w:rsidR="00526409" w:rsidRPr="00487E5D">
        <w:rPr>
          <w:rFonts w:cs="Arial"/>
          <w:lang w:bidi="fa-IR"/>
        </w:rPr>
        <w:t xml:space="preserve">” </w:t>
      </w:r>
      <w:r w:rsidR="007D5BFE" w:rsidRPr="00487E5D">
        <w:rPr>
          <w:rFonts w:cs="Arial"/>
          <w:lang w:bidi="fa-IR"/>
        </w:rPr>
        <w:t>in biotech firms is associated with raising more financial capital</w:t>
      </w:r>
      <w:r w:rsidR="00526409" w:rsidRPr="00487E5D">
        <w:rPr>
          <w:rFonts w:cs="Arial"/>
          <w:lang w:bidi="fa-IR"/>
        </w:rPr>
        <w:t xml:space="preserve">, whereas </w:t>
      </w:r>
      <w:r w:rsidR="007D5BFE" w:rsidRPr="00487E5D">
        <w:rPr>
          <w:rFonts w:cs="Arial"/>
          <w:lang w:bidi="fa-IR"/>
        </w:rPr>
        <w:t>“</w:t>
      </w:r>
      <w:r w:rsidR="0001262F" w:rsidRPr="00487E5D">
        <w:rPr>
          <w:rFonts w:cs="Arial"/>
          <w:lang w:bidi="fa-IR"/>
        </w:rPr>
        <w:t>technological</w:t>
      </w:r>
      <w:r w:rsidR="007D5BFE" w:rsidRPr="00487E5D">
        <w:rPr>
          <w:rFonts w:cs="Arial"/>
          <w:lang w:bidi="fa-IR"/>
        </w:rPr>
        <w:t xml:space="preserve"> breadth</w:t>
      </w:r>
      <w:r w:rsidR="00150643" w:rsidRPr="00487E5D">
        <w:rPr>
          <w:rFonts w:cs="Arial"/>
          <w:lang w:bidi="fa-IR"/>
        </w:rPr>
        <w:t xml:space="preserve">” </w:t>
      </w:r>
      <w:r w:rsidR="007D5BFE" w:rsidRPr="00487E5D">
        <w:rPr>
          <w:rFonts w:cs="Arial"/>
          <w:lang w:bidi="fa-IR"/>
        </w:rPr>
        <w:t>is related to receiving less money</w:t>
      </w:r>
      <w:r w:rsidR="00526409" w:rsidRPr="00487E5D">
        <w:rPr>
          <w:rFonts w:cs="Arial"/>
          <w:lang w:bidi="fa-IR"/>
        </w:rPr>
        <w:t xml:space="preserve">. </w:t>
      </w:r>
      <w:r w:rsidR="0001262F" w:rsidRPr="00487E5D">
        <w:rPr>
          <w:rFonts w:cs="Arial"/>
          <w:lang w:bidi="fa-IR"/>
        </w:rPr>
        <w:t>Furthermore</w:t>
      </w:r>
      <w:r w:rsidR="00526409" w:rsidRPr="00487E5D">
        <w:rPr>
          <w:rFonts w:cs="Arial"/>
          <w:lang w:bidi="fa-IR"/>
        </w:rPr>
        <w:t>, we</w:t>
      </w:r>
      <w:r w:rsidR="0001262F" w:rsidRPr="00487E5D">
        <w:rPr>
          <w:rFonts w:cs="Arial"/>
          <w:lang w:bidi="fa-IR"/>
        </w:rPr>
        <w:t xml:space="preserve"> also</w:t>
      </w:r>
      <w:r w:rsidR="00526409" w:rsidRPr="00487E5D">
        <w:rPr>
          <w:rFonts w:cs="Arial"/>
          <w:lang w:bidi="fa-IR"/>
        </w:rPr>
        <w:t xml:space="preserve"> find that </w:t>
      </w:r>
      <w:r w:rsidR="0001262F" w:rsidRPr="00487E5D">
        <w:rPr>
          <w:rFonts w:cs="Arial"/>
          <w:lang w:bidi="fa-IR"/>
        </w:rPr>
        <w:t>when firms bring a well-developed technology to the alliance, both their technological depth and breadth are positively related to the amount of money they receive.</w:t>
      </w:r>
      <w:r w:rsidR="0001262F" w:rsidRPr="00594F2B">
        <w:rPr>
          <w:rFonts w:cs="Arial"/>
          <w:lang w:bidi="fa-IR"/>
        </w:rPr>
        <w:t xml:space="preserve"> </w:t>
      </w:r>
    </w:p>
    <w:p w14:paraId="397C7DFA" w14:textId="77777777" w:rsidR="00425019" w:rsidRPr="00594F2B" w:rsidRDefault="00425019" w:rsidP="00425019">
      <w:pPr>
        <w:ind w:right="566"/>
        <w:jc w:val="both"/>
        <w:rPr>
          <w:rFonts w:ascii="Arial Narrow" w:hAnsi="Arial Narrow"/>
          <w:b/>
          <w:bCs/>
          <w:lang w:val="en-US"/>
        </w:rPr>
      </w:pPr>
    </w:p>
    <w:p w14:paraId="2F47E463" w14:textId="77777777" w:rsidR="001C3C3F" w:rsidRPr="00594F2B" w:rsidRDefault="001C3C3F" w:rsidP="001C3C3F">
      <w:pPr>
        <w:spacing w:line="480" w:lineRule="auto"/>
        <w:jc w:val="both"/>
        <w:rPr>
          <w:b/>
          <w:bCs/>
          <w:szCs w:val="24"/>
          <w:lang w:val="en-US" w:bidi="fa-IR"/>
        </w:rPr>
      </w:pPr>
    </w:p>
    <w:p w14:paraId="74117A96" w14:textId="77777777" w:rsidR="001C3C3F" w:rsidRPr="00594F2B" w:rsidRDefault="001C3C3F" w:rsidP="001C3C3F">
      <w:pPr>
        <w:spacing w:line="480" w:lineRule="auto"/>
        <w:jc w:val="both"/>
        <w:rPr>
          <w:b/>
          <w:bCs/>
          <w:szCs w:val="24"/>
          <w:lang w:val="en-US" w:bidi="fa-IR"/>
        </w:rPr>
      </w:pPr>
    </w:p>
    <w:p w14:paraId="5D98B76A" w14:textId="77777777" w:rsidR="001C3C3F" w:rsidRPr="00594F2B" w:rsidRDefault="001C3C3F" w:rsidP="001C3C3F">
      <w:pPr>
        <w:spacing w:line="480" w:lineRule="auto"/>
        <w:jc w:val="both"/>
        <w:rPr>
          <w:b/>
          <w:bCs/>
          <w:szCs w:val="24"/>
          <w:lang w:val="en-US" w:bidi="fa-IR"/>
        </w:rPr>
      </w:pPr>
    </w:p>
    <w:p w14:paraId="46C13F24" w14:textId="77777777" w:rsidR="001C3C3F" w:rsidRPr="00594F2B" w:rsidRDefault="001C3C3F" w:rsidP="001C3C3F">
      <w:pPr>
        <w:spacing w:line="480" w:lineRule="auto"/>
        <w:jc w:val="both"/>
        <w:rPr>
          <w:b/>
          <w:bCs/>
          <w:szCs w:val="24"/>
          <w:lang w:val="en-US" w:bidi="fa-IR"/>
        </w:rPr>
      </w:pPr>
    </w:p>
    <w:p w14:paraId="7EA0158D" w14:textId="77777777" w:rsidR="001C3C3F" w:rsidRPr="00594F2B" w:rsidRDefault="001C3C3F" w:rsidP="001C3C3F">
      <w:pPr>
        <w:spacing w:line="480" w:lineRule="auto"/>
        <w:jc w:val="both"/>
        <w:rPr>
          <w:b/>
          <w:bCs/>
          <w:szCs w:val="24"/>
          <w:lang w:val="en-US" w:bidi="fa-IR"/>
        </w:rPr>
      </w:pPr>
    </w:p>
    <w:p w14:paraId="5E67BB61" w14:textId="77777777" w:rsidR="001C3C3F" w:rsidRPr="00594F2B" w:rsidRDefault="001C3C3F" w:rsidP="001C3C3F">
      <w:pPr>
        <w:spacing w:line="480" w:lineRule="auto"/>
        <w:jc w:val="both"/>
        <w:rPr>
          <w:b/>
          <w:bCs/>
          <w:szCs w:val="24"/>
          <w:lang w:val="en-US" w:bidi="fa-IR"/>
        </w:rPr>
      </w:pPr>
    </w:p>
    <w:p w14:paraId="4C8C6D80" w14:textId="77777777" w:rsidR="001C3C3F" w:rsidRPr="00594F2B" w:rsidRDefault="001C3C3F" w:rsidP="001C3C3F">
      <w:pPr>
        <w:spacing w:line="480" w:lineRule="auto"/>
        <w:jc w:val="both"/>
        <w:rPr>
          <w:b/>
          <w:bCs/>
          <w:szCs w:val="24"/>
          <w:lang w:val="en-US" w:bidi="fa-IR"/>
        </w:rPr>
      </w:pPr>
    </w:p>
    <w:p w14:paraId="4251AB9B" w14:textId="77777777" w:rsidR="001C3C3F" w:rsidRPr="00594F2B" w:rsidRDefault="001C3C3F" w:rsidP="001C3C3F">
      <w:pPr>
        <w:spacing w:line="480" w:lineRule="auto"/>
        <w:jc w:val="both"/>
        <w:rPr>
          <w:b/>
          <w:bCs/>
          <w:szCs w:val="24"/>
          <w:lang w:val="en-US" w:bidi="fa-IR"/>
        </w:rPr>
      </w:pPr>
    </w:p>
    <w:p w14:paraId="5231268F" w14:textId="77777777" w:rsidR="001C3C3F" w:rsidRPr="00594F2B" w:rsidRDefault="001C3C3F" w:rsidP="001C3C3F">
      <w:pPr>
        <w:spacing w:line="480" w:lineRule="auto"/>
        <w:jc w:val="both"/>
        <w:rPr>
          <w:b/>
          <w:bCs/>
          <w:szCs w:val="24"/>
          <w:lang w:val="en-US" w:bidi="fa-IR"/>
        </w:rPr>
      </w:pPr>
    </w:p>
    <w:p w14:paraId="42A12034" w14:textId="77777777" w:rsidR="001C3C3F" w:rsidRPr="00594F2B" w:rsidRDefault="001C3C3F" w:rsidP="001C3C3F">
      <w:pPr>
        <w:spacing w:line="480" w:lineRule="auto"/>
        <w:jc w:val="both"/>
        <w:rPr>
          <w:b/>
          <w:bCs/>
          <w:szCs w:val="24"/>
          <w:lang w:val="en-US" w:bidi="fa-IR"/>
        </w:rPr>
      </w:pPr>
    </w:p>
    <w:p w14:paraId="3A5D4614" w14:textId="77777777" w:rsidR="001C3C3F" w:rsidRPr="00594F2B" w:rsidRDefault="001C3C3F" w:rsidP="001C3C3F">
      <w:pPr>
        <w:spacing w:line="480" w:lineRule="auto"/>
        <w:jc w:val="both"/>
        <w:rPr>
          <w:b/>
          <w:bCs/>
          <w:szCs w:val="24"/>
          <w:lang w:val="en-US" w:bidi="fa-IR"/>
        </w:rPr>
      </w:pPr>
    </w:p>
    <w:p w14:paraId="27564948" w14:textId="77777777" w:rsidR="001C3C3F" w:rsidRPr="00594F2B" w:rsidRDefault="001C3C3F" w:rsidP="001C3C3F">
      <w:pPr>
        <w:spacing w:line="480" w:lineRule="auto"/>
        <w:jc w:val="both"/>
        <w:rPr>
          <w:b/>
          <w:bCs/>
          <w:szCs w:val="24"/>
          <w:lang w:val="en-US" w:bidi="fa-IR"/>
        </w:rPr>
      </w:pPr>
    </w:p>
    <w:p w14:paraId="7D304EE6" w14:textId="77777777" w:rsidR="001C3C3F" w:rsidRPr="00594F2B" w:rsidRDefault="001C3C3F" w:rsidP="001C3C3F">
      <w:pPr>
        <w:spacing w:line="480" w:lineRule="auto"/>
        <w:jc w:val="both"/>
        <w:rPr>
          <w:b/>
          <w:bCs/>
          <w:szCs w:val="24"/>
          <w:lang w:val="en-US" w:bidi="fa-IR"/>
        </w:rPr>
      </w:pPr>
    </w:p>
    <w:p w14:paraId="689D35E1" w14:textId="7228DC04" w:rsidR="00425019" w:rsidRPr="00594F2B" w:rsidRDefault="00425019" w:rsidP="006210C8">
      <w:pPr>
        <w:spacing w:line="480" w:lineRule="auto"/>
        <w:jc w:val="both"/>
        <w:rPr>
          <w:b/>
          <w:bCs/>
          <w:szCs w:val="24"/>
          <w:lang w:val="en-US" w:bidi="fa-IR"/>
        </w:rPr>
      </w:pPr>
      <w:r w:rsidRPr="00594F2B">
        <w:rPr>
          <w:b/>
          <w:bCs/>
          <w:szCs w:val="24"/>
          <w:lang w:val="en-US" w:bidi="fa-IR"/>
        </w:rPr>
        <w:lastRenderedPageBreak/>
        <w:t>Introduction</w:t>
      </w:r>
    </w:p>
    <w:p w14:paraId="0E8A4A30" w14:textId="4E297878" w:rsidR="00592844" w:rsidRPr="00594F2B" w:rsidRDefault="00115AAD" w:rsidP="00B0660C">
      <w:pPr>
        <w:widowControl w:val="0"/>
        <w:autoSpaceDE w:val="0"/>
        <w:autoSpaceDN w:val="0"/>
        <w:adjustRightInd w:val="0"/>
        <w:spacing w:line="480" w:lineRule="auto"/>
        <w:jc w:val="both"/>
        <w:rPr>
          <w:rFonts w:eastAsia="Calibri" w:cs="Arial"/>
          <w:szCs w:val="24"/>
          <w:lang w:val="en-US" w:bidi="fa-IR"/>
        </w:rPr>
      </w:pPr>
      <w:r w:rsidRPr="00594F2B">
        <w:rPr>
          <w:rFonts w:eastAsia="Calibri" w:cs="Arial"/>
          <w:szCs w:val="24"/>
          <w:lang w:val="en-US" w:bidi="fa-IR"/>
        </w:rPr>
        <w:t xml:space="preserve">For </w:t>
      </w:r>
      <w:r w:rsidR="0001262F" w:rsidRPr="00594F2B">
        <w:rPr>
          <w:rFonts w:eastAsia="Calibri" w:cs="Arial"/>
          <w:szCs w:val="24"/>
          <w:lang w:val="en-US" w:bidi="fa-IR"/>
        </w:rPr>
        <w:t>a</w:t>
      </w:r>
      <w:r w:rsidRPr="00594F2B">
        <w:rPr>
          <w:rFonts w:eastAsia="Calibri" w:cs="Arial"/>
          <w:szCs w:val="24"/>
          <w:lang w:val="en-US" w:bidi="fa-IR"/>
        </w:rPr>
        <w:t xml:space="preserve"> large</w:t>
      </w:r>
      <w:r w:rsidR="001C3C3F" w:rsidRPr="00594F2B">
        <w:rPr>
          <w:rFonts w:eastAsia="Calibri" w:cs="Arial"/>
          <w:szCs w:val="24"/>
          <w:lang w:val="en-US" w:bidi="fa-IR"/>
        </w:rPr>
        <w:t xml:space="preserve"> and well</w:t>
      </w:r>
      <w:r w:rsidR="00FC6939">
        <w:rPr>
          <w:rFonts w:eastAsia="Calibri" w:cs="Arial"/>
          <w:szCs w:val="24"/>
          <w:lang w:val="en-US" w:bidi="fa-IR"/>
        </w:rPr>
        <w:t>-</w:t>
      </w:r>
      <w:r w:rsidR="001C3C3F" w:rsidRPr="00594F2B">
        <w:rPr>
          <w:rFonts w:eastAsia="Calibri" w:cs="Arial"/>
          <w:szCs w:val="24"/>
          <w:lang w:val="en-US" w:bidi="fa-IR"/>
        </w:rPr>
        <w:t>established</w:t>
      </w:r>
      <w:r w:rsidRPr="00594F2B">
        <w:rPr>
          <w:rFonts w:eastAsia="Calibri" w:cs="Arial"/>
          <w:szCs w:val="24"/>
          <w:lang w:val="en-US" w:bidi="fa-IR"/>
        </w:rPr>
        <w:t xml:space="preserve"> pharmaceutical company, collaboration with dedicated biotechnology firms is </w:t>
      </w:r>
      <w:r w:rsidR="00900AC3" w:rsidRPr="00594F2B">
        <w:rPr>
          <w:rFonts w:eastAsia="Calibri" w:cs="Arial"/>
          <w:szCs w:val="24"/>
          <w:lang w:val="en-US" w:bidi="fa-IR"/>
        </w:rPr>
        <w:t>one</w:t>
      </w:r>
      <w:r w:rsidRPr="00594F2B">
        <w:rPr>
          <w:rFonts w:eastAsia="Calibri" w:cs="Arial"/>
          <w:szCs w:val="24"/>
          <w:lang w:val="en-US" w:bidi="fa-IR"/>
        </w:rPr>
        <w:t xml:space="preserve"> </w:t>
      </w:r>
      <w:r w:rsidR="001C3C3F" w:rsidRPr="00594F2B">
        <w:rPr>
          <w:rFonts w:eastAsia="Calibri" w:cs="Arial"/>
          <w:szCs w:val="24"/>
          <w:lang w:val="en-US" w:bidi="fa-IR"/>
        </w:rPr>
        <w:t xml:space="preserve">way </w:t>
      </w:r>
      <w:r w:rsidRPr="00594F2B">
        <w:rPr>
          <w:rFonts w:eastAsia="Calibri" w:cs="Arial"/>
          <w:szCs w:val="24"/>
          <w:lang w:val="en-US" w:bidi="fa-IR"/>
        </w:rPr>
        <w:t>to</w:t>
      </w:r>
      <w:r w:rsidR="001C3C3F" w:rsidRPr="00594F2B">
        <w:rPr>
          <w:rFonts w:eastAsia="Calibri" w:cs="Arial"/>
          <w:szCs w:val="24"/>
          <w:lang w:val="en-US" w:bidi="fa-IR"/>
        </w:rPr>
        <w:t xml:space="preserve"> gain access to new and evolving pre-competitive knowledge often necessary during periods of</w:t>
      </w:r>
      <w:r w:rsidRPr="00594F2B">
        <w:rPr>
          <w:rFonts w:eastAsia="Calibri" w:cs="Arial"/>
          <w:szCs w:val="24"/>
          <w:lang w:val="en-US" w:bidi="fa-IR"/>
        </w:rPr>
        <w:t xml:space="preserve"> rapid technological change </w:t>
      </w:r>
      <w:r w:rsidRPr="00594F2B">
        <w:rPr>
          <w:rFonts w:eastAsia="Calibri" w:cs="Arial"/>
          <w:szCs w:val="24"/>
          <w:lang w:val="en-US" w:bidi="fa-IR"/>
        </w:rPr>
        <w:fldChar w:fldCharType="begin" w:fldLock="1"/>
      </w:r>
      <w:r w:rsidR="00207DE0">
        <w:rPr>
          <w:rFonts w:eastAsia="Calibri" w:cs="Arial"/>
          <w:szCs w:val="24"/>
          <w:lang w:val="en-US" w:bidi="fa-IR"/>
        </w:rPr>
        <w:instrText>ADDIN CSL_CITATION { "citationItems" : [ { "id" : "ITEM-1", "itemData" : { "DOI" : "10.1002/smj.376", "ISSN" : "0143-2095", "author" : [ { "dropping-particle" : "", "family" : "Rothaermel", "given" : "Frank T.", "non-dropping-particle" : "", "parse-names" : false, "suffix" : "" }, { "dropping-particle" : "", "family" : "Deeds", "given" : "David L.", "non-dropping-particle" : "", "parse-names" : false, "suffix" : "" } ], "container-title" : "Strategic Management Journal", "id" : "ITEM-1", "issue" : "3", "issued" : { "date-parts" : [ [ "2004", "3" ] ] }, "page" : "201-221", "title" : "Exploration and exploitation alliances in biotechnology: a system of new product development", "type" : "article-journal", "volume" : "25" }, "uris" : [ "http://www.mendeley.com/documents/?uuid=dd52a0dc-8a9a-380c-903b-7f3d2e20d2b1", "http://www.mendeley.com/documents/?uuid=0ef4a548-35be-4b39-8206-6ee500e6a253" ] } ], "mendeley" : { "formattedCitation" : "(Rothaermel &amp; Deeds, 2004)", "manualFormatting" : "(Rothaermel and Deeds, 2004; Santoro, 2013)", "plainTextFormattedCitation" : "(Rothaermel &amp; Deeds, 2004)", "previouslyFormattedCitation" : "(Rothaermel &amp; Deeds, 2004)" }, "properties" : {  }, "schema" : "https://github.com/citation-style-language/schema/raw/master/csl-citation.json" }</w:instrText>
      </w:r>
      <w:r w:rsidRPr="00594F2B">
        <w:rPr>
          <w:rFonts w:eastAsia="Calibri" w:cs="Arial"/>
          <w:szCs w:val="24"/>
          <w:lang w:val="en-US" w:bidi="fa-IR"/>
        </w:rPr>
        <w:fldChar w:fldCharType="separate"/>
      </w:r>
      <w:r w:rsidRPr="00594F2B">
        <w:rPr>
          <w:rFonts w:eastAsia="Calibri" w:cs="Arial"/>
          <w:noProof/>
          <w:szCs w:val="24"/>
          <w:lang w:val="en-US" w:bidi="fa-IR"/>
        </w:rPr>
        <w:t>(Rothaermel and Deeds, 2004</w:t>
      </w:r>
      <w:r w:rsidR="001C3C3F" w:rsidRPr="00594F2B">
        <w:rPr>
          <w:rFonts w:eastAsia="Calibri" w:cs="Arial"/>
          <w:noProof/>
          <w:szCs w:val="24"/>
          <w:lang w:val="en-US" w:bidi="fa-IR"/>
        </w:rPr>
        <w:t>; Santoro, 2013</w:t>
      </w:r>
      <w:r w:rsidRPr="00594F2B">
        <w:rPr>
          <w:rFonts w:eastAsia="Calibri" w:cs="Arial"/>
          <w:noProof/>
          <w:szCs w:val="24"/>
          <w:lang w:val="en-US" w:bidi="fa-IR"/>
        </w:rPr>
        <w:t>)</w:t>
      </w:r>
      <w:r w:rsidRPr="00594F2B">
        <w:rPr>
          <w:rFonts w:eastAsia="Calibri" w:cs="Arial"/>
          <w:szCs w:val="24"/>
          <w:lang w:val="en-US" w:bidi="fa-IR"/>
        </w:rPr>
        <w:fldChar w:fldCharType="end"/>
      </w:r>
      <w:r w:rsidRPr="00594F2B">
        <w:rPr>
          <w:rFonts w:eastAsia="Calibri" w:cs="Arial"/>
          <w:szCs w:val="24"/>
          <w:lang w:val="en-US" w:bidi="fa-IR"/>
        </w:rPr>
        <w:t xml:space="preserve">. </w:t>
      </w:r>
      <w:r w:rsidR="001C3C3F" w:rsidRPr="00594F2B">
        <w:rPr>
          <w:rFonts w:eastAsia="Calibri" w:cs="Arial"/>
          <w:szCs w:val="24"/>
          <w:lang w:val="en-US" w:bidi="fa-IR"/>
        </w:rPr>
        <w:t>In return, f</w:t>
      </w:r>
      <w:r w:rsidR="00FF1DC9" w:rsidRPr="00594F2B">
        <w:rPr>
          <w:rFonts w:eastAsia="Calibri" w:cs="Arial"/>
          <w:szCs w:val="24"/>
          <w:lang w:val="en-US" w:bidi="fa-IR"/>
        </w:rPr>
        <w:t xml:space="preserve">or </w:t>
      </w:r>
      <w:r w:rsidR="00900AC3" w:rsidRPr="00594F2B">
        <w:rPr>
          <w:rFonts w:eastAsia="Calibri" w:cs="Arial"/>
          <w:szCs w:val="24"/>
          <w:lang w:val="en-US" w:bidi="fa-IR"/>
        </w:rPr>
        <w:t xml:space="preserve">the </w:t>
      </w:r>
      <w:r w:rsidR="001C3C3F" w:rsidRPr="00594F2B">
        <w:rPr>
          <w:rFonts w:eastAsia="Calibri" w:cs="Arial"/>
          <w:szCs w:val="24"/>
          <w:lang w:val="en-US" w:bidi="fa-IR"/>
        </w:rPr>
        <w:t>less established</w:t>
      </w:r>
      <w:r w:rsidR="00CD13F7">
        <w:rPr>
          <w:rFonts w:eastAsia="Calibri" w:cs="Arial"/>
          <w:szCs w:val="24"/>
          <w:lang w:val="en-US" w:bidi="fa-IR"/>
        </w:rPr>
        <w:t xml:space="preserve"> </w:t>
      </w:r>
      <w:r w:rsidR="001C3C3F" w:rsidRPr="00594F2B">
        <w:rPr>
          <w:rFonts w:eastAsia="Calibri" w:cs="Arial"/>
          <w:szCs w:val="24"/>
          <w:lang w:val="en-US" w:bidi="fa-IR"/>
        </w:rPr>
        <w:t>and</w:t>
      </w:r>
      <w:r w:rsidR="00FF1DC9" w:rsidRPr="00594F2B">
        <w:rPr>
          <w:rFonts w:eastAsia="Calibri" w:cs="Arial"/>
          <w:szCs w:val="24"/>
          <w:lang w:val="en-US" w:bidi="fa-IR"/>
        </w:rPr>
        <w:t xml:space="preserve"> resource-constrained biotechnology firm, R&amp;D alliances</w:t>
      </w:r>
      <w:r w:rsidR="00DB66B6" w:rsidRPr="00594F2B">
        <w:rPr>
          <w:rFonts w:eastAsia="Calibri" w:cs="Arial"/>
          <w:szCs w:val="24"/>
          <w:lang w:val="en-US" w:bidi="fa-IR"/>
        </w:rPr>
        <w:t xml:space="preserve"> with a</w:t>
      </w:r>
      <w:r w:rsidR="00CD13F7">
        <w:rPr>
          <w:rFonts w:eastAsia="Calibri" w:cs="Arial"/>
          <w:szCs w:val="24"/>
          <w:lang w:val="en-US" w:bidi="fa-IR"/>
        </w:rPr>
        <w:t xml:space="preserve"> larger </w:t>
      </w:r>
      <w:r w:rsidR="00DB66B6" w:rsidRPr="00594F2B">
        <w:rPr>
          <w:rFonts w:eastAsia="Calibri" w:cs="Arial"/>
          <w:szCs w:val="24"/>
          <w:lang w:val="en-US" w:bidi="fa-IR"/>
        </w:rPr>
        <w:t>organization</w:t>
      </w:r>
      <w:r w:rsidRPr="00594F2B">
        <w:rPr>
          <w:rFonts w:eastAsia="Calibri" w:cs="Arial"/>
          <w:szCs w:val="24"/>
          <w:lang w:val="en-US" w:bidi="fa-IR"/>
        </w:rPr>
        <w:t xml:space="preserve"> represent</w:t>
      </w:r>
      <w:r w:rsidR="00FF1DC9" w:rsidRPr="00594F2B">
        <w:rPr>
          <w:rFonts w:eastAsia="Calibri" w:cs="Arial"/>
          <w:szCs w:val="24"/>
          <w:lang w:val="en-US" w:bidi="fa-IR"/>
        </w:rPr>
        <w:t xml:space="preserve"> a way of gain</w:t>
      </w:r>
      <w:r w:rsidR="007F5BCB" w:rsidRPr="00594F2B">
        <w:rPr>
          <w:rFonts w:eastAsia="Calibri" w:cs="Arial"/>
          <w:szCs w:val="24"/>
          <w:lang w:val="en-US" w:bidi="fa-IR"/>
        </w:rPr>
        <w:t>ing access to financial capital</w:t>
      </w:r>
      <w:r w:rsidR="001C3C3F" w:rsidRPr="00594F2B">
        <w:rPr>
          <w:rFonts w:eastAsia="Calibri" w:cs="Arial"/>
          <w:szCs w:val="24"/>
          <w:lang w:val="en-US" w:bidi="fa-IR"/>
        </w:rPr>
        <w:t>,</w:t>
      </w:r>
      <w:r w:rsidR="007F5BCB" w:rsidRPr="00594F2B">
        <w:rPr>
          <w:rFonts w:eastAsia="Calibri" w:cs="Arial"/>
          <w:szCs w:val="24"/>
          <w:lang w:val="en-US" w:bidi="fa-IR"/>
        </w:rPr>
        <w:t xml:space="preserve"> the one resource that it lacks most</w:t>
      </w:r>
      <w:r w:rsidR="001C3C3F" w:rsidRPr="00594F2B">
        <w:rPr>
          <w:rFonts w:eastAsia="Calibri" w:cs="Arial"/>
          <w:szCs w:val="24"/>
          <w:lang w:val="en-US" w:bidi="fa-IR"/>
        </w:rPr>
        <w:t>,</w:t>
      </w:r>
      <w:r w:rsidR="00FF1DC9" w:rsidRPr="00594F2B">
        <w:rPr>
          <w:rFonts w:eastAsia="Calibri" w:cs="Arial"/>
          <w:szCs w:val="24"/>
          <w:lang w:val="en-US" w:bidi="fa-IR"/>
        </w:rPr>
        <w:t xml:space="preserve"> as well as valuable managerial and marketing capabilities</w:t>
      </w:r>
      <w:r w:rsidR="007F5BCB" w:rsidRPr="00594F2B">
        <w:rPr>
          <w:rFonts w:eastAsia="Calibri" w:cs="Arial"/>
          <w:szCs w:val="24"/>
          <w:lang w:val="en-US" w:bidi="fa-IR"/>
        </w:rPr>
        <w:t xml:space="preserve"> </w:t>
      </w:r>
      <w:r w:rsidR="007F5BCB" w:rsidRPr="00594F2B">
        <w:rPr>
          <w:rFonts w:eastAsia="Calibri" w:cs="Arial"/>
          <w:szCs w:val="24"/>
          <w:lang w:val="en-US" w:bidi="fa-IR"/>
        </w:rPr>
        <w:fldChar w:fldCharType="begin" w:fldLock="1"/>
      </w:r>
      <w:r w:rsidR="00207DE0">
        <w:rPr>
          <w:rFonts w:eastAsia="Calibri" w:cs="Arial"/>
          <w:szCs w:val="24"/>
          <w:lang w:val="en-US" w:bidi="fa-IR"/>
        </w:rPr>
        <w:instrText>ADDIN CSL_CITATION { "citationItems" : [ { "id" : "ITEM-1", "itemData" : { "DOI" : "10.2307/3094190", "ISBN" : "01432095", "ISSN" : "01432095", "PMID" : "2975708", "abstract" : "I argue that the linkage-formation propensity of firms is explained by simultaneously exam both inducement and opportunity factors. Drawing upon resource-based and social n theory literatures I identify three forms of accumulated capital-technical, commerc social-that can affect a firm's inducements and opportunities to form linkages. Firms po these capital stocks enjoy advantages in linkages formation. However, firms lacking accumulated resources can still form linkages if they generate a radical technological through. Thus, I identify paths to linkage formation for leading as well as peripheral f test these arguments with longitudinal data on technical collaborative linkages in th chemicals industry", "author" : [ { "dropping-particle" : "", "family" : "Ahuja", "given" : "Gautam", "non-dropping-particle" : "", "parse-names" : false, "suffix" : "" } ], "container-title" : "Strategic Management Journal", "id" : "ITEM-1", "issue" : "3", "issued" : { "date-parts" : [ [ "2000" ] ] }, "page" : "317-343", "title" : "The Duality of Collaboration: Inducements and Opportunities in the Formation of Interfirm Linkages", "type" : "article-journal", "volume" : "21" }, "uris" : [ "http://www.mendeley.com/documents/?uuid=54d7b8ef-6843-42c8-b2a5-a07eccd53d14", "http://www.mendeley.com/documents/?uuid=7f6bd337-adac-4ea7-ae78-ea731b286498" ] }, { "id" : "ITEM-2", "itemData" : { "DOI" : "10.1002/smj.376", "ISSN" : "0143-2095", "author" : [ { "dropping-particle" : "", "family" : "Rothaermel", "given" : "Frank T.", "non-dropping-particle" : "", "parse-names" : false, "suffix" : "" }, { "dropping-particle" : "", "family" : "Deeds", "given" : "David L.", "non-dropping-particle" : "", "parse-names" : false, "suffix" : "" } ], "container-title" : "Strategic Management Journal", "id" : "ITEM-2", "issue" : "3", "issued" : { "date-parts" : [ [ "2004", "3" ] ] }, "page" : "201-221", "title" : "Exploration and exploitation alliances in biotechnology: a system of new product development", "type" : "article-journal", "volume" : "25" }, "uris" : [ "http://www.mendeley.com/documents/?uuid=0ef4a548-35be-4b39-8206-6ee500e6a253", "http://www.mendeley.com/documents/?uuid=dd52a0dc-8a9a-380c-903b-7f3d2e20d2b1" ] } ], "mendeley" : { "formattedCitation" : "(Ahuja, 2000; Rothaermel &amp; Deeds, 2004)", "manualFormatting" : "(Ahuja, 2000; Mindruta, Moeen and Agarwal, 2016)", "plainTextFormattedCitation" : "(Ahuja, 2000; Rothaermel &amp; Deeds, 2004)", "previouslyFormattedCitation" : "(Ahuja, 2000; Rothaermel &amp; Deeds, 2004)" }, "properties" : {  }, "schema" : "https://github.com/citation-style-language/schema/raw/master/csl-citation.json" }</w:instrText>
      </w:r>
      <w:r w:rsidR="007F5BCB" w:rsidRPr="00594F2B">
        <w:rPr>
          <w:rFonts w:eastAsia="Calibri" w:cs="Arial"/>
          <w:szCs w:val="24"/>
          <w:lang w:val="en-US" w:bidi="fa-IR"/>
        </w:rPr>
        <w:fldChar w:fldCharType="separate"/>
      </w:r>
      <w:r w:rsidR="00912613" w:rsidRPr="00594F2B">
        <w:rPr>
          <w:rFonts w:eastAsia="Calibri" w:cs="Arial"/>
          <w:noProof/>
          <w:szCs w:val="24"/>
          <w:lang w:val="en-US" w:bidi="fa-IR"/>
        </w:rPr>
        <w:t>(Ahuja, 2000; Mindruta, Moeen and Agarwal, 2016)</w:t>
      </w:r>
      <w:r w:rsidR="007F5BCB" w:rsidRPr="00594F2B">
        <w:rPr>
          <w:rFonts w:eastAsia="Calibri" w:cs="Arial"/>
          <w:szCs w:val="24"/>
          <w:lang w:val="en-US" w:bidi="fa-IR"/>
        </w:rPr>
        <w:fldChar w:fldCharType="end"/>
      </w:r>
      <w:r w:rsidR="007F5BCB" w:rsidRPr="00594F2B">
        <w:rPr>
          <w:rFonts w:eastAsia="Calibri" w:cs="Arial"/>
          <w:szCs w:val="24"/>
          <w:lang w:val="en-US" w:bidi="fa-IR"/>
        </w:rPr>
        <w:t xml:space="preserve">. </w:t>
      </w:r>
      <w:r w:rsidR="00912613" w:rsidRPr="00594F2B">
        <w:rPr>
          <w:rFonts w:eastAsia="Calibri" w:cs="Arial"/>
          <w:szCs w:val="24"/>
          <w:lang w:val="en-US" w:bidi="fa-IR"/>
        </w:rPr>
        <w:t>Al</w:t>
      </w:r>
      <w:r w:rsidRPr="00594F2B">
        <w:rPr>
          <w:rFonts w:eastAsia="Calibri" w:cs="Arial"/>
          <w:szCs w:val="24"/>
          <w:lang w:val="en-US" w:bidi="fa-IR"/>
        </w:rPr>
        <w:t xml:space="preserve">though such alliances </w:t>
      </w:r>
      <w:r w:rsidR="001C3C3F" w:rsidRPr="00594F2B">
        <w:rPr>
          <w:rFonts w:eastAsia="Calibri" w:cs="Arial"/>
          <w:szCs w:val="24"/>
          <w:lang w:val="en-US" w:bidi="fa-IR"/>
        </w:rPr>
        <w:t>mean</w:t>
      </w:r>
      <w:r w:rsidR="00912613" w:rsidRPr="00594F2B">
        <w:rPr>
          <w:rFonts w:eastAsia="Calibri" w:cs="Arial"/>
          <w:szCs w:val="24"/>
          <w:lang w:val="en-US" w:bidi="fa-IR"/>
        </w:rPr>
        <w:t xml:space="preserve"> that the biotech firm’s </w:t>
      </w:r>
      <w:r w:rsidRPr="00594F2B">
        <w:rPr>
          <w:rFonts w:eastAsia="Calibri" w:cs="Arial"/>
          <w:szCs w:val="24"/>
          <w:lang w:val="en-US" w:bidi="fa-IR"/>
        </w:rPr>
        <w:t>valuable</w:t>
      </w:r>
      <w:r w:rsidR="001C3C3F" w:rsidRPr="00594F2B">
        <w:rPr>
          <w:rFonts w:eastAsia="Calibri" w:cs="Arial"/>
          <w:szCs w:val="24"/>
          <w:lang w:val="en-US" w:bidi="fa-IR"/>
        </w:rPr>
        <w:t xml:space="preserve"> and sometimes unique</w:t>
      </w:r>
      <w:r w:rsidRPr="00594F2B">
        <w:rPr>
          <w:rFonts w:eastAsia="Calibri" w:cs="Arial"/>
          <w:szCs w:val="24"/>
          <w:lang w:val="en-US" w:bidi="fa-IR"/>
        </w:rPr>
        <w:t xml:space="preserve"> </w:t>
      </w:r>
      <w:r w:rsidR="00912613" w:rsidRPr="00594F2B">
        <w:rPr>
          <w:rFonts w:eastAsia="Calibri" w:cs="Arial"/>
          <w:szCs w:val="24"/>
          <w:lang w:val="en-US" w:bidi="fa-IR"/>
        </w:rPr>
        <w:t>knowledge is put at risk of appropriation</w:t>
      </w:r>
      <w:r w:rsidR="00900AC3" w:rsidRPr="00594F2B">
        <w:rPr>
          <w:rFonts w:eastAsia="Calibri" w:cs="Arial"/>
          <w:szCs w:val="24"/>
          <w:lang w:val="en-US" w:bidi="fa-IR"/>
        </w:rPr>
        <w:t xml:space="preserve"> and leakage</w:t>
      </w:r>
      <w:r w:rsidR="00912613" w:rsidRPr="00594F2B">
        <w:rPr>
          <w:rFonts w:eastAsia="Calibri" w:cs="Arial"/>
          <w:szCs w:val="24"/>
          <w:lang w:val="en-US" w:bidi="fa-IR"/>
        </w:rPr>
        <w:t xml:space="preserve"> (Alvarez and Barney 2001; </w:t>
      </w:r>
      <w:proofErr w:type="spellStart"/>
      <w:r w:rsidR="00912613" w:rsidRPr="00594F2B">
        <w:rPr>
          <w:rFonts w:eastAsia="Calibri" w:cs="Arial"/>
          <w:szCs w:val="24"/>
          <w:lang w:val="en-US" w:bidi="fa-IR"/>
        </w:rPr>
        <w:t>Diestre</w:t>
      </w:r>
      <w:proofErr w:type="spellEnd"/>
      <w:r w:rsidR="00912613" w:rsidRPr="00594F2B">
        <w:rPr>
          <w:rFonts w:eastAsia="Calibri" w:cs="Arial"/>
          <w:szCs w:val="24"/>
          <w:lang w:val="en-US" w:bidi="fa-IR"/>
        </w:rPr>
        <w:t xml:space="preserve"> and</w:t>
      </w:r>
      <w:r w:rsidR="001C106B" w:rsidRPr="00594F2B">
        <w:rPr>
          <w:rFonts w:eastAsia="Calibri" w:cs="Arial"/>
          <w:szCs w:val="24"/>
          <w:lang w:val="en-US" w:bidi="fa-IR"/>
        </w:rPr>
        <w:t xml:space="preserve"> Rajagopalan, 2012),</w:t>
      </w:r>
      <w:r w:rsidRPr="00594F2B">
        <w:rPr>
          <w:rFonts w:eastAsia="Calibri" w:cs="Arial"/>
          <w:szCs w:val="24"/>
          <w:lang w:val="en-US" w:bidi="fa-IR"/>
        </w:rPr>
        <w:t xml:space="preserve"> </w:t>
      </w:r>
      <w:r w:rsidR="00730D13">
        <w:rPr>
          <w:rFonts w:eastAsia="Calibri" w:cs="Arial"/>
          <w:szCs w:val="24"/>
          <w:lang w:val="en-US" w:bidi="fa-IR"/>
        </w:rPr>
        <w:t>they are still the most popular mode of collaboration in this industry, and a major factor in most biotech firms’ growth strategies</w:t>
      </w:r>
      <w:r w:rsidRPr="00CD13F7">
        <w:rPr>
          <w:rFonts w:eastAsia="Calibri" w:cs="Arial"/>
          <w:color w:val="FF0000"/>
          <w:szCs w:val="24"/>
          <w:lang w:val="en-US" w:bidi="fa-IR"/>
        </w:rPr>
        <w:t xml:space="preserve"> </w:t>
      </w:r>
      <w:r w:rsidR="001C106B" w:rsidRPr="00CD13F7">
        <w:rPr>
          <w:rFonts w:eastAsia="Calibri" w:cs="Arial"/>
          <w:color w:val="FF0000"/>
          <w:szCs w:val="24"/>
          <w:lang w:val="en-US" w:bidi="fa-IR"/>
        </w:rPr>
        <w:t>(</w:t>
      </w:r>
      <w:r w:rsidR="001C106B" w:rsidRPr="00594F2B">
        <w:rPr>
          <w:rFonts w:eastAsia="Calibri" w:cs="Arial"/>
          <w:szCs w:val="24"/>
          <w:lang w:val="en-US" w:bidi="fa-IR"/>
        </w:rPr>
        <w:t>Clarivate Analytics, 2017)</w:t>
      </w:r>
      <w:r w:rsidR="006B1DA1" w:rsidRPr="00594F2B">
        <w:rPr>
          <w:rFonts w:eastAsia="Calibri" w:cs="Arial"/>
          <w:szCs w:val="24"/>
          <w:lang w:val="en-US" w:bidi="fa-IR"/>
        </w:rPr>
        <w:t>.</w:t>
      </w:r>
      <w:r w:rsidR="009414CC" w:rsidRPr="00594F2B">
        <w:rPr>
          <w:rFonts w:eastAsia="Calibri" w:cs="Arial"/>
          <w:szCs w:val="24"/>
          <w:lang w:val="en-US" w:bidi="fa-IR"/>
        </w:rPr>
        <w:t xml:space="preserve"> </w:t>
      </w:r>
      <w:r w:rsidR="00594F2B" w:rsidRPr="00594F2B">
        <w:rPr>
          <w:rFonts w:eastAsia="Calibri" w:cs="Arial"/>
          <w:szCs w:val="24"/>
          <w:lang w:val="en-US" w:bidi="fa-IR"/>
        </w:rPr>
        <w:t>In fact, biotech</w:t>
      </w:r>
      <w:r w:rsidR="000B2178" w:rsidRPr="00594F2B">
        <w:rPr>
          <w:rFonts w:eastAsia="Calibri" w:cs="Arial"/>
          <w:szCs w:val="24"/>
          <w:lang w:val="en-US" w:bidi="fa-IR"/>
        </w:rPr>
        <w:t xml:space="preserve"> firms</w:t>
      </w:r>
      <w:r w:rsidR="00594F2B" w:rsidRPr="00594F2B">
        <w:rPr>
          <w:rFonts w:eastAsia="Calibri" w:cs="Arial"/>
          <w:szCs w:val="24"/>
          <w:lang w:val="en-US" w:bidi="fa-IR"/>
        </w:rPr>
        <w:t xml:space="preserve"> enjoy </w:t>
      </w:r>
      <w:r w:rsidR="00F27057" w:rsidRPr="00594F2B">
        <w:rPr>
          <w:rFonts w:eastAsia="Calibri" w:cs="Arial"/>
          <w:szCs w:val="24"/>
          <w:lang w:val="en-US" w:bidi="fa-IR"/>
        </w:rPr>
        <w:t>some leverage due to the</w:t>
      </w:r>
      <w:r w:rsidR="00594F2B" w:rsidRPr="00594F2B">
        <w:rPr>
          <w:rFonts w:eastAsia="Calibri" w:cs="Arial"/>
          <w:szCs w:val="24"/>
          <w:lang w:val="en-US" w:bidi="fa-IR"/>
        </w:rPr>
        <w:t xml:space="preserve"> valuable technological</w:t>
      </w:r>
      <w:r w:rsidR="00F27057" w:rsidRPr="00594F2B">
        <w:rPr>
          <w:rFonts w:eastAsia="Calibri" w:cs="Arial"/>
          <w:szCs w:val="24"/>
          <w:lang w:val="en-US" w:bidi="fa-IR"/>
        </w:rPr>
        <w:t xml:space="preserve"> knowledge they bring to the partnership</w:t>
      </w:r>
      <w:r w:rsidR="000B2178" w:rsidRPr="00594F2B">
        <w:rPr>
          <w:rFonts w:eastAsia="Calibri" w:cs="Arial"/>
          <w:szCs w:val="24"/>
          <w:lang w:val="en-US" w:bidi="fa-IR"/>
        </w:rPr>
        <w:t xml:space="preserve"> </w:t>
      </w:r>
      <w:r w:rsidR="00594F2B" w:rsidRPr="00594F2B">
        <w:rPr>
          <w:rFonts w:eastAsia="Calibri" w:cs="Arial"/>
          <w:szCs w:val="24"/>
          <w:lang w:val="en-US" w:bidi="fa-IR"/>
        </w:rPr>
        <w:t>and hence they continue</w:t>
      </w:r>
      <w:r w:rsidR="006B1DA1" w:rsidRPr="00594F2B">
        <w:rPr>
          <w:rFonts w:eastAsia="Calibri" w:cs="Arial"/>
          <w:szCs w:val="24"/>
          <w:lang w:val="en-US" w:bidi="fa-IR"/>
        </w:rPr>
        <w:t xml:space="preserve"> to fight</w:t>
      </w:r>
      <w:r w:rsidR="000B2178" w:rsidRPr="00594F2B">
        <w:rPr>
          <w:rFonts w:eastAsia="Calibri" w:cs="Arial"/>
          <w:szCs w:val="24"/>
          <w:lang w:val="en-US" w:bidi="fa-IR"/>
        </w:rPr>
        <w:t xml:space="preserve"> </w:t>
      </w:r>
      <w:r w:rsidR="006B1DA1" w:rsidRPr="00594F2B">
        <w:rPr>
          <w:rFonts w:eastAsia="Calibri" w:cs="Arial"/>
          <w:szCs w:val="24"/>
          <w:lang w:val="en-US" w:bidi="fa-IR"/>
        </w:rPr>
        <w:t>for</w:t>
      </w:r>
      <w:r w:rsidR="000B2178" w:rsidRPr="00594F2B">
        <w:rPr>
          <w:rFonts w:eastAsia="Calibri" w:cs="Arial"/>
          <w:szCs w:val="24"/>
          <w:lang w:val="en-US" w:bidi="fa-IR"/>
        </w:rPr>
        <w:t xml:space="preserve"> more financial capital and better partnership terms from</w:t>
      </w:r>
      <w:r w:rsidR="00F27057" w:rsidRPr="00594F2B">
        <w:rPr>
          <w:rFonts w:eastAsia="Calibri" w:cs="Arial"/>
          <w:szCs w:val="24"/>
          <w:lang w:val="en-US" w:bidi="fa-IR"/>
        </w:rPr>
        <w:t xml:space="preserve"> the</w:t>
      </w:r>
      <w:r w:rsidR="000B2178" w:rsidRPr="00594F2B">
        <w:rPr>
          <w:rFonts w:eastAsia="Calibri" w:cs="Arial"/>
          <w:szCs w:val="24"/>
          <w:lang w:val="en-US" w:bidi="fa-IR"/>
        </w:rPr>
        <w:t xml:space="preserve"> </w:t>
      </w:r>
      <w:r w:rsidR="006B1DA1" w:rsidRPr="00594F2B">
        <w:rPr>
          <w:rFonts w:eastAsia="Calibri" w:cs="Arial"/>
          <w:szCs w:val="24"/>
          <w:lang w:val="en-US" w:bidi="fa-IR"/>
        </w:rPr>
        <w:t xml:space="preserve">big pharma </w:t>
      </w:r>
      <w:r w:rsidR="00594F2B" w:rsidRPr="00594F2B">
        <w:rPr>
          <w:rFonts w:eastAsia="Calibri" w:cs="Arial"/>
          <w:szCs w:val="24"/>
          <w:lang w:val="en-US" w:bidi="fa-IR"/>
        </w:rPr>
        <w:t>partners</w:t>
      </w:r>
      <w:r w:rsidR="00F27057" w:rsidRPr="00594F2B">
        <w:rPr>
          <w:rFonts w:eastAsia="Calibri" w:cs="Arial"/>
          <w:szCs w:val="24"/>
          <w:lang w:val="en-US" w:bidi="fa-IR"/>
        </w:rPr>
        <w:t xml:space="preserve"> (Santoro, 2013)</w:t>
      </w:r>
      <w:r w:rsidR="006B1DA1" w:rsidRPr="00594F2B">
        <w:rPr>
          <w:rFonts w:eastAsia="Calibri" w:cs="Arial"/>
          <w:szCs w:val="24"/>
          <w:lang w:val="en-US" w:bidi="fa-IR"/>
        </w:rPr>
        <w:t>.</w:t>
      </w:r>
    </w:p>
    <w:p w14:paraId="22488F82" w14:textId="17DFEB39" w:rsidR="001B162B" w:rsidRPr="00594F2B" w:rsidRDefault="00592844" w:rsidP="00594F2B">
      <w:pPr>
        <w:spacing w:line="480" w:lineRule="auto"/>
        <w:jc w:val="both"/>
        <w:rPr>
          <w:szCs w:val="24"/>
          <w:lang w:val="en-US" w:bidi="fa-IR"/>
        </w:rPr>
      </w:pPr>
      <w:commentRangeStart w:id="1"/>
      <w:commentRangeEnd w:id="1"/>
      <w:r w:rsidRPr="00594F2B">
        <w:rPr>
          <w:rFonts w:eastAsia="Calibri" w:cs="Arial"/>
          <w:szCs w:val="24"/>
          <w:lang w:val="en-US" w:bidi="fa-IR"/>
        </w:rPr>
        <w:t xml:space="preserve">One major way </w:t>
      </w:r>
      <w:r w:rsidR="00900AC3" w:rsidRPr="00594F2B">
        <w:rPr>
          <w:rFonts w:eastAsia="Calibri" w:cs="Arial"/>
          <w:szCs w:val="24"/>
          <w:lang w:val="en-US" w:bidi="fa-IR"/>
        </w:rPr>
        <w:t xml:space="preserve">that </w:t>
      </w:r>
      <w:r w:rsidRPr="00594F2B">
        <w:rPr>
          <w:rFonts w:eastAsia="Calibri" w:cs="Arial"/>
          <w:szCs w:val="24"/>
          <w:lang w:val="en-US" w:bidi="fa-IR"/>
        </w:rPr>
        <w:t xml:space="preserve">incumbent pharmaceutical firms assess the prospects of </w:t>
      </w:r>
      <w:r w:rsidR="00900AC3" w:rsidRPr="00594F2B">
        <w:rPr>
          <w:rFonts w:eastAsia="Calibri" w:cs="Arial"/>
          <w:szCs w:val="24"/>
          <w:lang w:val="en-US" w:bidi="fa-IR"/>
        </w:rPr>
        <w:t xml:space="preserve">their potential </w:t>
      </w:r>
      <w:r w:rsidRPr="00594F2B">
        <w:rPr>
          <w:rFonts w:eastAsia="Calibri" w:cs="Arial"/>
          <w:szCs w:val="24"/>
          <w:lang w:val="en-US" w:bidi="fa-IR"/>
        </w:rPr>
        <w:t xml:space="preserve">biotechnology </w:t>
      </w:r>
      <w:r w:rsidR="00900AC3" w:rsidRPr="00594F2B">
        <w:rPr>
          <w:rFonts w:eastAsia="Calibri" w:cs="Arial"/>
          <w:szCs w:val="24"/>
          <w:lang w:val="en-US" w:bidi="fa-IR"/>
        </w:rPr>
        <w:t xml:space="preserve">partners </w:t>
      </w:r>
      <w:r w:rsidRPr="00594F2B">
        <w:rPr>
          <w:rFonts w:eastAsia="Calibri" w:cs="Arial"/>
          <w:szCs w:val="24"/>
          <w:lang w:val="en-US" w:bidi="fa-IR"/>
        </w:rPr>
        <w:t xml:space="preserve">is by evaluating their patent portfolios. </w:t>
      </w:r>
      <w:r w:rsidR="009414CC" w:rsidRPr="00594F2B">
        <w:rPr>
          <w:rFonts w:eastAsia="Calibri" w:cs="Arial"/>
          <w:szCs w:val="24"/>
          <w:lang w:val="en-US" w:bidi="fa-IR"/>
        </w:rPr>
        <w:t>Past research</w:t>
      </w:r>
      <w:r w:rsidR="00CA3F0D">
        <w:rPr>
          <w:rFonts w:eastAsia="Calibri" w:cs="Arial"/>
          <w:szCs w:val="24"/>
          <w:lang w:val="en-US" w:bidi="fa-IR"/>
        </w:rPr>
        <w:t xml:space="preserve"> has</w:t>
      </w:r>
      <w:r w:rsidR="009414CC" w:rsidRPr="00594F2B">
        <w:rPr>
          <w:rFonts w:eastAsia="Calibri" w:cs="Arial"/>
          <w:szCs w:val="24"/>
          <w:lang w:val="en-US" w:bidi="fa-IR"/>
        </w:rPr>
        <w:t xml:space="preserve"> considered </w:t>
      </w:r>
      <w:r w:rsidR="00900AC3" w:rsidRPr="00594F2B">
        <w:rPr>
          <w:rFonts w:eastAsia="Calibri" w:cs="Arial"/>
          <w:szCs w:val="24"/>
          <w:lang w:val="en-US" w:bidi="fa-IR"/>
        </w:rPr>
        <w:t xml:space="preserve">a </w:t>
      </w:r>
      <w:r w:rsidR="009414CC" w:rsidRPr="00594F2B">
        <w:rPr>
          <w:rFonts w:eastAsia="Calibri" w:cs="Arial"/>
          <w:szCs w:val="24"/>
          <w:lang w:val="en-US" w:bidi="fa-IR"/>
        </w:rPr>
        <w:t xml:space="preserve">firm’s patent portfolio as an observable indicator of </w:t>
      </w:r>
      <w:r w:rsidR="00F27057" w:rsidRPr="00594F2B">
        <w:rPr>
          <w:rFonts w:eastAsia="Calibri" w:cs="Arial"/>
          <w:szCs w:val="24"/>
          <w:lang w:val="en-US" w:bidi="fa-IR"/>
        </w:rPr>
        <w:t>a firm’s</w:t>
      </w:r>
      <w:r w:rsidR="009414CC" w:rsidRPr="00594F2B">
        <w:rPr>
          <w:rFonts w:eastAsia="Calibri" w:cs="Arial"/>
          <w:szCs w:val="24"/>
          <w:lang w:val="en-US" w:bidi="fa-IR"/>
        </w:rPr>
        <w:t xml:space="preserve"> research capabilit</w:t>
      </w:r>
      <w:r w:rsidR="00900AC3" w:rsidRPr="00594F2B">
        <w:rPr>
          <w:rFonts w:eastAsia="Calibri" w:cs="Arial"/>
          <w:szCs w:val="24"/>
          <w:lang w:val="en-US" w:bidi="fa-IR"/>
        </w:rPr>
        <w:t>y</w:t>
      </w:r>
      <w:r w:rsidR="009414CC" w:rsidRPr="00594F2B">
        <w:rPr>
          <w:rFonts w:eastAsia="Calibri" w:cs="Arial"/>
          <w:szCs w:val="24"/>
          <w:lang w:val="en-US" w:bidi="fa-IR"/>
        </w:rPr>
        <w:t xml:space="preserve"> and </w:t>
      </w:r>
      <w:r w:rsidR="00900AC3" w:rsidRPr="00594F2B">
        <w:rPr>
          <w:rFonts w:eastAsia="Calibri" w:cs="Arial"/>
          <w:szCs w:val="24"/>
          <w:lang w:val="en-US" w:bidi="fa-IR"/>
        </w:rPr>
        <w:t>a firm’s</w:t>
      </w:r>
      <w:r w:rsidR="009414CC" w:rsidRPr="00594F2B">
        <w:rPr>
          <w:rFonts w:eastAsia="Calibri" w:cs="Arial"/>
          <w:szCs w:val="24"/>
          <w:lang w:val="en-US" w:bidi="fa-IR"/>
        </w:rPr>
        <w:t xml:space="preserve"> intellectual property (</w:t>
      </w:r>
      <w:proofErr w:type="spellStart"/>
      <w:r w:rsidR="009414CC" w:rsidRPr="00594F2B">
        <w:rPr>
          <w:rFonts w:eastAsia="Calibri" w:cs="Arial"/>
          <w:szCs w:val="24"/>
          <w:lang w:val="en-US" w:bidi="fa-IR"/>
        </w:rPr>
        <w:t>Adegbesan</w:t>
      </w:r>
      <w:proofErr w:type="spellEnd"/>
      <w:r w:rsidR="009414CC" w:rsidRPr="00594F2B">
        <w:rPr>
          <w:rFonts w:eastAsia="Calibri" w:cs="Arial"/>
          <w:szCs w:val="24"/>
          <w:lang w:val="en-US" w:bidi="fa-IR"/>
        </w:rPr>
        <w:t xml:space="preserve"> and Higgins, 2011</w:t>
      </w:r>
      <w:r w:rsidR="00E63364" w:rsidRPr="00594F2B">
        <w:rPr>
          <w:rFonts w:eastAsia="Calibri" w:cs="Arial"/>
          <w:szCs w:val="24"/>
          <w:lang w:val="en-US" w:bidi="fa-IR"/>
        </w:rPr>
        <w:t>; George et al., 2001</w:t>
      </w:r>
      <w:r w:rsidR="009414CC" w:rsidRPr="00594F2B">
        <w:rPr>
          <w:rFonts w:eastAsia="Calibri" w:cs="Arial"/>
          <w:szCs w:val="24"/>
          <w:lang w:val="en-US" w:bidi="fa-IR"/>
        </w:rPr>
        <w:t xml:space="preserve">). </w:t>
      </w:r>
      <w:r w:rsidRPr="00594F2B">
        <w:rPr>
          <w:rFonts w:eastAsia="Calibri" w:cs="Arial"/>
          <w:szCs w:val="24"/>
          <w:lang w:val="en-US" w:bidi="fa-IR"/>
        </w:rPr>
        <w:t xml:space="preserve">Rothaermel (2002: 395) found that biotechnology firms </w:t>
      </w:r>
      <w:r w:rsidR="00900AC3" w:rsidRPr="00594F2B">
        <w:rPr>
          <w:rFonts w:eastAsia="Calibri" w:cs="Arial"/>
          <w:szCs w:val="24"/>
          <w:lang w:val="en-US" w:bidi="fa-IR"/>
        </w:rPr>
        <w:t xml:space="preserve">that had accumulated </w:t>
      </w:r>
      <w:r w:rsidR="00C80853" w:rsidRPr="00594F2B">
        <w:rPr>
          <w:rFonts w:eastAsia="Calibri" w:cs="Arial"/>
          <w:szCs w:val="24"/>
          <w:lang w:val="en-US" w:bidi="fa-IR"/>
        </w:rPr>
        <w:t>more</w:t>
      </w:r>
      <w:r w:rsidRPr="00594F2B">
        <w:rPr>
          <w:rFonts w:eastAsia="Calibri" w:cs="Arial"/>
          <w:szCs w:val="24"/>
          <w:lang w:val="en-US" w:bidi="fa-IR"/>
        </w:rPr>
        <w:t xml:space="preserve"> </w:t>
      </w:r>
      <w:r w:rsidR="00E63364" w:rsidRPr="00594F2B">
        <w:rPr>
          <w:rFonts w:eastAsia="Calibri" w:cs="Arial"/>
          <w:szCs w:val="24"/>
          <w:lang w:val="en-US" w:bidi="fa-IR"/>
        </w:rPr>
        <w:t xml:space="preserve">patents were </w:t>
      </w:r>
      <w:r w:rsidR="00C80853" w:rsidRPr="00594F2B">
        <w:rPr>
          <w:rFonts w:eastAsia="Calibri" w:cs="Arial"/>
          <w:szCs w:val="24"/>
          <w:lang w:val="en-US" w:bidi="fa-IR"/>
        </w:rPr>
        <w:t xml:space="preserve">more </w:t>
      </w:r>
      <w:r w:rsidR="00E63364" w:rsidRPr="00594F2B">
        <w:rPr>
          <w:rFonts w:eastAsia="Calibri" w:cs="Arial"/>
          <w:szCs w:val="24"/>
          <w:lang w:val="en-US" w:bidi="fa-IR"/>
        </w:rPr>
        <w:t>attractive</w:t>
      </w:r>
      <w:r w:rsidRPr="00594F2B">
        <w:rPr>
          <w:rFonts w:eastAsia="Calibri" w:cs="Arial"/>
          <w:szCs w:val="24"/>
          <w:lang w:val="en-US" w:bidi="fa-IR"/>
        </w:rPr>
        <w:t xml:space="preserve"> alliance partners for incumbent pharmaceutical companies. However, i</w:t>
      </w:r>
      <w:r w:rsidR="005B3025" w:rsidRPr="00594F2B">
        <w:rPr>
          <w:szCs w:val="24"/>
          <w:lang w:val="en-US" w:bidi="fa-IR"/>
        </w:rPr>
        <w:t xml:space="preserve">n a study of the impact of </w:t>
      </w:r>
      <w:r w:rsidRPr="00594F2B">
        <w:rPr>
          <w:szCs w:val="24"/>
          <w:lang w:val="en-US" w:bidi="fa-IR"/>
        </w:rPr>
        <w:t>technological resources</w:t>
      </w:r>
      <w:r w:rsidR="005B3025" w:rsidRPr="00594F2B">
        <w:rPr>
          <w:szCs w:val="24"/>
          <w:lang w:val="en-US" w:bidi="fa-IR"/>
        </w:rPr>
        <w:t xml:space="preserve"> of the biotech firm</w:t>
      </w:r>
      <w:r w:rsidRPr="00594F2B">
        <w:rPr>
          <w:szCs w:val="24"/>
          <w:lang w:val="en-US" w:bidi="fa-IR"/>
        </w:rPr>
        <w:t xml:space="preserve"> on the amount of financial capital it acquires from the pharma partner </w:t>
      </w:r>
      <w:r w:rsidR="005B3025" w:rsidRPr="00594F2B">
        <w:rPr>
          <w:szCs w:val="24"/>
          <w:lang w:val="en-US" w:bidi="fa-IR"/>
        </w:rPr>
        <w:t>in alliance</w:t>
      </w:r>
      <w:r w:rsidRPr="00594F2B">
        <w:rPr>
          <w:szCs w:val="24"/>
          <w:lang w:val="en-US" w:bidi="fa-IR"/>
        </w:rPr>
        <w:t xml:space="preserve">, Gopalakrishnan, </w:t>
      </w:r>
      <w:proofErr w:type="spellStart"/>
      <w:r w:rsidRPr="00594F2B">
        <w:rPr>
          <w:szCs w:val="24"/>
          <w:lang w:val="en-US" w:bidi="fa-IR"/>
        </w:rPr>
        <w:t>Scilliotoe</w:t>
      </w:r>
      <w:proofErr w:type="spellEnd"/>
      <w:r w:rsidRPr="00594F2B">
        <w:rPr>
          <w:szCs w:val="24"/>
          <w:lang w:val="en-US" w:bidi="fa-IR"/>
        </w:rPr>
        <w:t xml:space="preserve"> and Santoro (2008) found that</w:t>
      </w:r>
      <w:r w:rsidR="005B3025" w:rsidRPr="00594F2B">
        <w:rPr>
          <w:szCs w:val="24"/>
          <w:lang w:val="en-US" w:bidi="fa-IR"/>
        </w:rPr>
        <w:t xml:space="preserve"> </w:t>
      </w:r>
      <w:r w:rsidRPr="00594F2B">
        <w:rPr>
          <w:szCs w:val="24"/>
          <w:lang w:val="en-US" w:bidi="fa-IR"/>
        </w:rPr>
        <w:t xml:space="preserve">biotech firms that entered into alliances when they had fewer </w:t>
      </w:r>
      <w:r w:rsidR="00594F2B" w:rsidRPr="00594F2B">
        <w:rPr>
          <w:szCs w:val="24"/>
          <w:lang w:val="en-US" w:bidi="fa-IR"/>
        </w:rPr>
        <w:t>patents</w:t>
      </w:r>
      <w:r w:rsidRPr="00594F2B">
        <w:rPr>
          <w:szCs w:val="24"/>
          <w:lang w:val="en-US" w:bidi="fa-IR"/>
        </w:rPr>
        <w:t xml:space="preserve"> received a greater amount of financial capital from their pharmaceutical partner. </w:t>
      </w:r>
      <w:r w:rsidR="008F4F65" w:rsidRPr="00594F2B">
        <w:rPr>
          <w:szCs w:val="24"/>
          <w:lang w:val="en-US" w:bidi="fa-IR"/>
        </w:rPr>
        <w:t>T</w:t>
      </w:r>
      <w:r w:rsidR="005B3025" w:rsidRPr="00594F2B">
        <w:rPr>
          <w:szCs w:val="24"/>
          <w:lang w:val="en-US" w:bidi="fa-IR"/>
        </w:rPr>
        <w:t xml:space="preserve">his was on the contrary to their hypothesis </w:t>
      </w:r>
      <w:r w:rsidR="005B3025" w:rsidRPr="00594F2B">
        <w:rPr>
          <w:szCs w:val="24"/>
          <w:lang w:val="en-US" w:bidi="fa-IR"/>
        </w:rPr>
        <w:lastRenderedPageBreak/>
        <w:t xml:space="preserve">and </w:t>
      </w:r>
      <w:r w:rsidR="008F4F65" w:rsidRPr="00594F2B">
        <w:rPr>
          <w:szCs w:val="24"/>
          <w:lang w:val="en-US" w:bidi="fa-IR"/>
        </w:rPr>
        <w:t xml:space="preserve">to the </w:t>
      </w:r>
      <w:r w:rsidR="005B3025" w:rsidRPr="00594F2B">
        <w:rPr>
          <w:szCs w:val="24"/>
          <w:lang w:val="en-US" w:bidi="fa-IR"/>
        </w:rPr>
        <w:t xml:space="preserve">findings of other studies (e.g. Stuart, Hoang, &amp; Hybels, 1999; Coombs, </w:t>
      </w:r>
      <w:proofErr w:type="spellStart"/>
      <w:r w:rsidR="005B3025" w:rsidRPr="00594F2B">
        <w:rPr>
          <w:szCs w:val="24"/>
          <w:lang w:val="en-US" w:bidi="fa-IR"/>
        </w:rPr>
        <w:t>Mudambi</w:t>
      </w:r>
      <w:proofErr w:type="spellEnd"/>
      <w:r w:rsidR="005B3025" w:rsidRPr="00594F2B">
        <w:rPr>
          <w:szCs w:val="24"/>
          <w:lang w:val="en-US" w:bidi="fa-IR"/>
        </w:rPr>
        <w:t>, &amp; Deeds, 2006).</w:t>
      </w:r>
    </w:p>
    <w:p w14:paraId="1DA2ED6A" w14:textId="66DBF44D" w:rsidR="0086379E" w:rsidRPr="00594F2B" w:rsidRDefault="00AE47A5" w:rsidP="00AF032B">
      <w:pPr>
        <w:pStyle w:val="SalehProyectoTesisFormatting"/>
        <w:ind w:firstLine="0"/>
        <w:rPr>
          <w:lang w:bidi="fa-IR"/>
        </w:rPr>
      </w:pPr>
      <w:r w:rsidRPr="00594F2B">
        <w:rPr>
          <w:lang w:bidi="fa-IR"/>
        </w:rPr>
        <w:t>Our</w:t>
      </w:r>
      <w:commentRangeStart w:id="2"/>
      <w:commentRangeEnd w:id="2"/>
      <w:r w:rsidRPr="00594F2B">
        <w:rPr>
          <w:b/>
          <w:bCs/>
          <w:lang w:bidi="fa-IR"/>
        </w:rPr>
        <w:t xml:space="preserve"> </w:t>
      </w:r>
      <w:r w:rsidR="00592844" w:rsidRPr="00594F2B">
        <w:rPr>
          <w:lang w:bidi="fa-IR"/>
        </w:rPr>
        <w:t xml:space="preserve">paper </w:t>
      </w:r>
      <w:r w:rsidR="00F27057" w:rsidRPr="00594F2B">
        <w:rPr>
          <w:lang w:bidi="fa-IR"/>
        </w:rPr>
        <w:t>helps to clarify some of</w:t>
      </w:r>
      <w:r w:rsidR="00592844" w:rsidRPr="00594F2B">
        <w:rPr>
          <w:lang w:bidi="fa-IR"/>
        </w:rPr>
        <w:t xml:space="preserve"> the inconsistent findings in the</w:t>
      </w:r>
      <w:r w:rsidR="00F27057" w:rsidRPr="00594F2B">
        <w:rPr>
          <w:lang w:bidi="fa-IR"/>
        </w:rPr>
        <w:t xml:space="preserve"> current</w:t>
      </w:r>
      <w:r w:rsidR="00592844" w:rsidRPr="00594F2B">
        <w:rPr>
          <w:lang w:bidi="fa-IR"/>
        </w:rPr>
        <w:t xml:space="preserve"> literature regarding the role of </w:t>
      </w:r>
      <w:r w:rsidR="00594F2B" w:rsidRPr="00594F2B">
        <w:rPr>
          <w:lang w:bidi="fa-IR"/>
        </w:rPr>
        <w:t xml:space="preserve">the biotech firm’s </w:t>
      </w:r>
      <w:r w:rsidR="00592844" w:rsidRPr="00594F2B">
        <w:rPr>
          <w:lang w:bidi="fa-IR"/>
        </w:rPr>
        <w:t>technological resources –</w:t>
      </w:r>
      <w:r w:rsidR="00594F2B" w:rsidRPr="00594F2B">
        <w:rPr>
          <w:lang w:bidi="fa-IR"/>
        </w:rPr>
        <w:t>typically indicated by patents</w:t>
      </w:r>
      <w:r w:rsidR="00592844" w:rsidRPr="00594F2B">
        <w:rPr>
          <w:lang w:bidi="fa-IR"/>
        </w:rPr>
        <w:t xml:space="preserve">- on </w:t>
      </w:r>
      <w:r w:rsidR="00594F2B" w:rsidRPr="00594F2B">
        <w:rPr>
          <w:lang w:bidi="fa-IR"/>
        </w:rPr>
        <w:t>its</w:t>
      </w:r>
      <w:r w:rsidR="00592844" w:rsidRPr="00594F2B">
        <w:rPr>
          <w:lang w:bidi="fa-IR"/>
        </w:rPr>
        <w:t xml:space="preserve"> ability to raise financial capital upon entering </w:t>
      </w:r>
      <w:r w:rsidR="00F27057" w:rsidRPr="00594F2B">
        <w:rPr>
          <w:lang w:bidi="fa-IR"/>
        </w:rPr>
        <w:t xml:space="preserve">into </w:t>
      </w:r>
      <w:r w:rsidR="00592844" w:rsidRPr="00594F2B">
        <w:rPr>
          <w:lang w:bidi="fa-IR"/>
        </w:rPr>
        <w:t xml:space="preserve">an alliance with a big pharma. We do so by </w:t>
      </w:r>
      <w:r w:rsidR="009414CC" w:rsidRPr="00594F2B">
        <w:rPr>
          <w:lang w:bidi="fa-IR"/>
        </w:rPr>
        <w:t xml:space="preserve">decomposing </w:t>
      </w:r>
      <w:r w:rsidR="00FC6939">
        <w:rPr>
          <w:lang w:bidi="fa-IR"/>
        </w:rPr>
        <w:t>the technological knowledge resources of the biotech firm in</w:t>
      </w:r>
      <w:r w:rsidR="009414CC" w:rsidRPr="00594F2B">
        <w:rPr>
          <w:lang w:bidi="fa-IR"/>
        </w:rPr>
        <w:t>to</w:t>
      </w:r>
      <w:r w:rsidR="001F61B3" w:rsidRPr="00594F2B">
        <w:rPr>
          <w:lang w:bidi="fa-IR"/>
        </w:rPr>
        <w:t xml:space="preserve"> two key </w:t>
      </w:r>
      <w:r w:rsidR="00594F2B" w:rsidRPr="00594F2B">
        <w:rPr>
          <w:lang w:bidi="fa-IR"/>
        </w:rPr>
        <w:t>dimensions</w:t>
      </w:r>
      <w:r w:rsidR="001F61B3" w:rsidRPr="00594F2B">
        <w:rPr>
          <w:lang w:bidi="fa-IR"/>
        </w:rPr>
        <w:t>: 1)</w:t>
      </w:r>
      <w:r w:rsidR="00592844" w:rsidRPr="00594F2B">
        <w:rPr>
          <w:lang w:bidi="fa-IR"/>
        </w:rPr>
        <w:t xml:space="preserve"> breadth </w:t>
      </w:r>
      <w:r w:rsidR="001F61B3" w:rsidRPr="00594F2B">
        <w:rPr>
          <w:lang w:bidi="fa-IR"/>
        </w:rPr>
        <w:t>(</w:t>
      </w:r>
      <w:r w:rsidR="00592844" w:rsidRPr="00594F2B">
        <w:rPr>
          <w:lang w:bidi="fa-IR"/>
        </w:rPr>
        <w:t>or technological diversity</w:t>
      </w:r>
      <w:r w:rsidR="001F61B3" w:rsidRPr="00594F2B">
        <w:rPr>
          <w:lang w:bidi="fa-IR"/>
        </w:rPr>
        <w:t>)</w:t>
      </w:r>
      <w:r w:rsidR="00592844" w:rsidRPr="00594F2B">
        <w:rPr>
          <w:lang w:bidi="fa-IR"/>
        </w:rPr>
        <w:t xml:space="preserve"> and </w:t>
      </w:r>
      <w:r w:rsidR="001F61B3" w:rsidRPr="00594F2B">
        <w:rPr>
          <w:lang w:bidi="fa-IR"/>
        </w:rPr>
        <w:t xml:space="preserve">2) </w:t>
      </w:r>
      <w:r w:rsidR="00592844" w:rsidRPr="00594F2B">
        <w:rPr>
          <w:lang w:bidi="fa-IR"/>
        </w:rPr>
        <w:t>d</w:t>
      </w:r>
      <w:r w:rsidR="009604D1" w:rsidRPr="00594F2B">
        <w:rPr>
          <w:lang w:bidi="fa-IR"/>
        </w:rPr>
        <w:t xml:space="preserve">epth </w:t>
      </w:r>
      <w:r w:rsidR="001F61B3" w:rsidRPr="00594F2B">
        <w:rPr>
          <w:lang w:bidi="fa-IR"/>
        </w:rPr>
        <w:t>(</w:t>
      </w:r>
      <w:r w:rsidR="009604D1" w:rsidRPr="00594F2B">
        <w:rPr>
          <w:lang w:bidi="fa-IR"/>
        </w:rPr>
        <w:t xml:space="preserve">or </w:t>
      </w:r>
      <w:r w:rsidR="00456BA7" w:rsidRPr="00594F2B">
        <w:rPr>
          <w:lang w:bidi="fa-IR"/>
        </w:rPr>
        <w:t>technological focus</w:t>
      </w:r>
      <w:r w:rsidR="001F61B3" w:rsidRPr="00594F2B">
        <w:rPr>
          <w:lang w:bidi="fa-IR"/>
        </w:rPr>
        <w:t xml:space="preserve">). We </w:t>
      </w:r>
      <w:r w:rsidR="00FC6939">
        <w:rPr>
          <w:lang w:bidi="fa-IR"/>
        </w:rPr>
        <w:t xml:space="preserve">give special attention to these two dimensions </w:t>
      </w:r>
      <w:r w:rsidR="00456BA7" w:rsidRPr="00594F2B">
        <w:rPr>
          <w:lang w:bidi="fa-IR"/>
        </w:rPr>
        <w:t>because</w:t>
      </w:r>
      <w:r w:rsidR="00456BA7" w:rsidRPr="00594F2B">
        <w:rPr>
          <w:rFonts w:eastAsia="Times New Roman"/>
          <w:lang w:bidi="fa-IR"/>
        </w:rPr>
        <w:t xml:space="preserve"> it could be that those firms with fewer patents </w:t>
      </w:r>
      <w:r w:rsidR="00FC6939">
        <w:rPr>
          <w:rFonts w:eastAsia="Times New Roman"/>
          <w:lang w:bidi="fa-IR"/>
        </w:rPr>
        <w:t>are</w:t>
      </w:r>
      <w:r w:rsidR="00456BA7" w:rsidRPr="00594F2B">
        <w:rPr>
          <w:rFonts w:eastAsia="Times New Roman"/>
          <w:lang w:bidi="fa-IR"/>
        </w:rPr>
        <w:t xml:space="preserve"> </w:t>
      </w:r>
      <w:r w:rsidR="009414CC" w:rsidRPr="00594F2B">
        <w:rPr>
          <w:rFonts w:eastAsia="Times New Roman"/>
          <w:lang w:bidi="fa-IR"/>
        </w:rPr>
        <w:t>deeply focused</w:t>
      </w:r>
      <w:r w:rsidR="00456BA7" w:rsidRPr="00594F2B">
        <w:rPr>
          <w:rFonts w:eastAsia="Times New Roman"/>
          <w:lang w:bidi="fa-IR"/>
        </w:rPr>
        <w:t xml:space="preserve"> in one </w:t>
      </w:r>
      <w:r w:rsidR="00FC6939">
        <w:rPr>
          <w:rFonts w:eastAsia="Times New Roman"/>
          <w:lang w:bidi="fa-IR"/>
        </w:rPr>
        <w:t>(</w:t>
      </w:r>
      <w:r w:rsidR="00456BA7" w:rsidRPr="00594F2B">
        <w:rPr>
          <w:rFonts w:eastAsia="Times New Roman"/>
          <w:lang w:bidi="fa-IR"/>
        </w:rPr>
        <w:t>or few</w:t>
      </w:r>
      <w:r w:rsidR="00FC6939">
        <w:rPr>
          <w:rFonts w:eastAsia="Times New Roman"/>
          <w:lang w:bidi="fa-IR"/>
        </w:rPr>
        <w:t>)</w:t>
      </w:r>
      <w:r w:rsidR="00456BA7" w:rsidRPr="00594F2B">
        <w:rPr>
          <w:rFonts w:eastAsia="Times New Roman"/>
          <w:lang w:bidi="fa-IR"/>
        </w:rPr>
        <w:t xml:space="preserve"> technological </w:t>
      </w:r>
      <w:r w:rsidR="00FC6939">
        <w:rPr>
          <w:rFonts w:eastAsia="Times New Roman"/>
          <w:lang w:bidi="fa-IR"/>
        </w:rPr>
        <w:t xml:space="preserve">knowledge </w:t>
      </w:r>
      <w:r w:rsidR="00456BA7" w:rsidRPr="00594F2B">
        <w:rPr>
          <w:rFonts w:eastAsia="Times New Roman"/>
          <w:lang w:bidi="fa-IR"/>
        </w:rPr>
        <w:t xml:space="preserve">areas and </w:t>
      </w:r>
      <w:r w:rsidR="00FC6939">
        <w:rPr>
          <w:rFonts w:eastAsia="Times New Roman"/>
          <w:lang w:bidi="fa-IR"/>
        </w:rPr>
        <w:t>hence</w:t>
      </w:r>
      <w:r w:rsidR="00194E9A" w:rsidRPr="00594F2B">
        <w:rPr>
          <w:rFonts w:eastAsia="Times New Roman"/>
          <w:lang w:bidi="fa-IR"/>
        </w:rPr>
        <w:t xml:space="preserve"> </w:t>
      </w:r>
      <w:r w:rsidR="00FC6939">
        <w:rPr>
          <w:rFonts w:eastAsia="Times New Roman"/>
          <w:lang w:bidi="fa-IR"/>
        </w:rPr>
        <w:t xml:space="preserve">possibly </w:t>
      </w:r>
      <w:r w:rsidR="00456BA7" w:rsidRPr="00594F2B">
        <w:rPr>
          <w:rFonts w:eastAsia="Times New Roman"/>
          <w:lang w:bidi="fa-IR"/>
        </w:rPr>
        <w:t>more attractive for a broad-base</w:t>
      </w:r>
      <w:r w:rsidR="001F61B3" w:rsidRPr="00594F2B">
        <w:rPr>
          <w:rFonts w:eastAsia="Times New Roman"/>
          <w:lang w:bidi="fa-IR"/>
        </w:rPr>
        <w:t>d</w:t>
      </w:r>
      <w:r w:rsidR="00456BA7" w:rsidRPr="00594F2B">
        <w:rPr>
          <w:rFonts w:eastAsia="Times New Roman"/>
          <w:lang w:bidi="fa-IR"/>
        </w:rPr>
        <w:t xml:space="preserve"> pharma par</w:t>
      </w:r>
      <w:r w:rsidR="0086379E" w:rsidRPr="00594F2B">
        <w:rPr>
          <w:rFonts w:eastAsia="Times New Roman"/>
          <w:lang w:bidi="fa-IR"/>
        </w:rPr>
        <w:t>tner</w:t>
      </w:r>
      <w:r w:rsidR="008F4F65" w:rsidRPr="00594F2B">
        <w:rPr>
          <w:rFonts w:eastAsia="Times New Roman"/>
          <w:lang w:bidi="fa-IR"/>
        </w:rPr>
        <w:t>.</w:t>
      </w:r>
      <w:r w:rsidR="008F4F65" w:rsidRPr="00594F2B">
        <w:rPr>
          <w:lang w:bidi="fa-IR"/>
        </w:rPr>
        <w:t xml:space="preserve"> Also, there is a dearth of empirical studies </w:t>
      </w:r>
      <w:r w:rsidR="005B3025" w:rsidRPr="00594F2B">
        <w:rPr>
          <w:lang w:bidi="fa-IR"/>
        </w:rPr>
        <w:t xml:space="preserve">on alliances </w:t>
      </w:r>
      <w:r w:rsidR="001F61B3" w:rsidRPr="00594F2B">
        <w:rPr>
          <w:lang w:bidi="fa-IR"/>
        </w:rPr>
        <w:t xml:space="preserve">that disentangle </w:t>
      </w:r>
      <w:r w:rsidR="0086379E" w:rsidRPr="00594F2B">
        <w:rPr>
          <w:lang w:bidi="fa-IR"/>
        </w:rPr>
        <w:t>technol</w:t>
      </w:r>
      <w:r w:rsidR="005B3025" w:rsidRPr="00594F2B">
        <w:rPr>
          <w:lang w:bidi="fa-IR"/>
        </w:rPr>
        <w:t>ogical knowledge</w:t>
      </w:r>
      <w:r w:rsidR="008F4F65" w:rsidRPr="00594F2B">
        <w:rPr>
          <w:lang w:bidi="fa-IR"/>
        </w:rPr>
        <w:t xml:space="preserve"> resources</w:t>
      </w:r>
      <w:r w:rsidR="005B3025" w:rsidRPr="00594F2B">
        <w:rPr>
          <w:lang w:bidi="fa-IR"/>
        </w:rPr>
        <w:t xml:space="preserve"> </w:t>
      </w:r>
      <w:r w:rsidR="008F4F65" w:rsidRPr="00594F2B">
        <w:rPr>
          <w:lang w:bidi="fa-IR"/>
        </w:rPr>
        <w:t xml:space="preserve">into its component parts </w:t>
      </w:r>
      <w:r w:rsidR="000B548D" w:rsidRPr="00594F2B">
        <w:rPr>
          <w:lang w:bidi="fa-IR"/>
        </w:rPr>
        <w:fldChar w:fldCharType="begin" w:fldLock="1"/>
      </w:r>
      <w:r w:rsidR="00207DE0">
        <w:rPr>
          <w:lang w:bidi="fa-IR"/>
        </w:rPr>
        <w:instrText>ADDIN CSL_CITATION { "citationItems" : [ { "id" : "ITEM-1", "itemData" : { "author" : [ { "dropping-particle" : "", "family" : "Haeussler", "given" : "Carolin", "non-dropping-particle" : "", "parse-names" : false, "suffix" : "" }, { "dropping-particle" : "", "family" : "Patzelt", "given" : "Holger", "non-dropping-particle" : "", "parse-names" : false, "suffix" : "" } ], "container-title" : "Frontiers of Entrepreneurship Research", "id" : "ITEM-1", "issue" : "15", "issued" : { "date-parts" : [ [ "2008", "6", "7" ] ] }, "title" : "STRATEGIC ALLIANCES AND PRODUCT DEVELOPMENT IN NEW TECHNOLOGY FIRMS: THE MODERATING EFFECT OF TECHNOLOGICAL CAPABILITIES", "type" : "article-journal", "volume" : "28" }, "uris" : [ "http://www.mendeley.com/documents/?uuid=1cbae459-2bec-32ef-baee-8addfbe86198" ] }, { "id" : "ITEM-2", "itemData" : { "DOI" : "10.1108/13673271011050102", "ISBN" : "1367-3270", "ISSN" : "1367-3270", "abstract" : "Purpose ? The purpose of this paper is to explore how the depth and breadth of firms' technological knowledge affect their performance.Design/methodology/approach ? An empirical investigation of a sample of US manufacturing firms was conducted. The main independent variables were measured using firms' patent data. Three hypotheses based on theory were developed and tested using multivariate regressions. To increase reliability, alternative industry and firm explanators of performance are controlled.Findings ? The depth and breadth of technological knowledge, rather than total stock, are significantly better at predicting three measures of firm performance that was used in the study ? return on invested capital, sales growth, and Tobin's q. The two knowledge dimensions exhibited either independent non?linear effects or mutually reinforcing effects on each of the three performance measures.Research limitations/implications ? The study is limited to a fine?grained analysis of effects of technological knowledge. It does not take into account the facilitating role of marketing and administrative knowledge.Practical implications ? Corporate managers need to measure the depth and breadth of their technological knowledge stocks and include them in their planning models. Extreme combinations of depth and breadth need to be corrected and brought into balance.Originality/value ? The paper represents one of the few studies to disaggregate a firm's total stock of technological knowledge into its depth and breadth components.", "author" : [ { "dropping-particle" : "", "family" : "Moorthy", "given" : "Subba", "non-dropping-particle" : "", "parse-names" : false, "suffix" : "" }, { "dropping-particle" : "", "family" : "Polley", "given" : "Douglas E.", "non-dropping-particle" : "", "parse-names" : false, "suffix" : "" } ], "container-title" : "Journal of Knowledge Management", "id" : "ITEM-2", "issue" : "3", "issued" : { "date-parts" : [ [ "2010" ] ] }, "page" : "359-377", "title" : "Technological knowledge breadth and depth: performance impacts", "type" : "article-journal", "volume" : "14" }, "uris" : [ "http://www.mendeley.com/documents/?uuid=7f13417e-860d-4704-8961-c4cd8a7425a3", "http://www.mendeley.com/documents/?uuid=b72d5565-75b7-4cbd-a06a-efd6c4f9092e" ] } ], "mendeley" : { "formattedCitation" : "(Haeussler &amp; Patzelt, 2008; Moorthy &amp; Polley, 2010)", "plainTextFormattedCitation" : "(Haeussler &amp; Patzelt, 2008; Moorthy &amp; Polley, 2010)", "previouslyFormattedCitation" : "(Haeussler &amp; Patzelt, 2008; Moorthy &amp; Polley, 2010)" }, "properties" : {  }, "schema" : "https://github.com/citation-style-language/schema/raw/master/csl-citation.json" }</w:instrText>
      </w:r>
      <w:r w:rsidR="000B548D" w:rsidRPr="00594F2B">
        <w:rPr>
          <w:lang w:bidi="fa-IR"/>
        </w:rPr>
        <w:fldChar w:fldCharType="separate"/>
      </w:r>
      <w:r w:rsidR="00207DE0" w:rsidRPr="00207DE0">
        <w:rPr>
          <w:noProof/>
          <w:lang w:bidi="fa-IR"/>
        </w:rPr>
        <w:t>(Haeussler &amp; Patzelt, 2008; Moorthy &amp; Polley, 2010)</w:t>
      </w:r>
      <w:r w:rsidR="000B548D" w:rsidRPr="00594F2B">
        <w:rPr>
          <w:lang w:bidi="fa-IR"/>
        </w:rPr>
        <w:fldChar w:fldCharType="end"/>
      </w:r>
      <w:r w:rsidR="000B548D" w:rsidRPr="00594F2B">
        <w:rPr>
          <w:lang w:bidi="fa-IR"/>
        </w:rPr>
        <w:t>.</w:t>
      </w:r>
      <w:r w:rsidR="008F4F65" w:rsidRPr="00594F2B">
        <w:rPr>
          <w:lang w:bidi="fa-IR"/>
        </w:rPr>
        <w:t xml:space="preserve"> </w:t>
      </w:r>
      <w:r w:rsidR="009604D1" w:rsidRPr="00594F2B">
        <w:rPr>
          <w:lang w:bidi="fa-IR"/>
        </w:rPr>
        <w:t xml:space="preserve">Our research </w:t>
      </w:r>
      <w:r w:rsidR="001F61B3" w:rsidRPr="00594F2B">
        <w:rPr>
          <w:lang w:bidi="fa-IR"/>
        </w:rPr>
        <w:t>adds to the literature by emphasizing</w:t>
      </w:r>
      <w:r w:rsidR="009604D1" w:rsidRPr="00594F2B">
        <w:rPr>
          <w:lang w:bidi="fa-IR"/>
        </w:rPr>
        <w:t xml:space="preserve"> the importance of this distinction when assessing knowledge-intensive firms</w:t>
      </w:r>
      <w:r w:rsidR="00594F2B">
        <w:rPr>
          <w:lang w:bidi="fa-IR"/>
        </w:rPr>
        <w:t xml:space="preserve"> and </w:t>
      </w:r>
      <w:r w:rsidR="00FC6939">
        <w:rPr>
          <w:lang w:bidi="fa-IR"/>
        </w:rPr>
        <w:t xml:space="preserve">how these can be </w:t>
      </w:r>
      <w:r w:rsidR="00594F2B">
        <w:rPr>
          <w:lang w:bidi="fa-IR"/>
        </w:rPr>
        <w:t>leverage</w:t>
      </w:r>
      <w:r w:rsidR="00FC6939">
        <w:rPr>
          <w:lang w:bidi="fa-IR"/>
        </w:rPr>
        <w:t>d</w:t>
      </w:r>
      <w:r w:rsidR="00594F2B">
        <w:rPr>
          <w:lang w:bidi="fa-IR"/>
        </w:rPr>
        <w:t xml:space="preserve"> to protect </w:t>
      </w:r>
      <w:r w:rsidR="00FC6939">
        <w:rPr>
          <w:lang w:bidi="fa-IR"/>
        </w:rPr>
        <w:t xml:space="preserve">firm’s </w:t>
      </w:r>
      <w:r w:rsidR="00594F2B">
        <w:rPr>
          <w:lang w:bidi="fa-IR"/>
        </w:rPr>
        <w:t>interests in alliance relationships.</w:t>
      </w:r>
    </w:p>
    <w:p w14:paraId="4C9BF9F8" w14:textId="1CAC1BF5" w:rsidR="0094688E" w:rsidRPr="00594F2B" w:rsidRDefault="00730D13" w:rsidP="003B5830">
      <w:pPr>
        <w:pStyle w:val="SalehProyectoTesisFormatting"/>
        <w:ind w:firstLine="0"/>
        <w:rPr>
          <w:lang w:bidi="fa-IR"/>
        </w:rPr>
      </w:pPr>
      <w:r>
        <w:rPr>
          <w:lang w:bidi="fa-IR"/>
        </w:rPr>
        <w:t xml:space="preserve">Nevertheless, </w:t>
      </w:r>
      <w:r w:rsidR="009604D1" w:rsidRPr="00594F2B">
        <w:rPr>
          <w:lang w:bidi="fa-IR"/>
        </w:rPr>
        <w:t xml:space="preserve">we should also take into account the stage of development of </w:t>
      </w:r>
      <w:r w:rsidR="00FC6939">
        <w:rPr>
          <w:lang w:bidi="fa-IR"/>
        </w:rPr>
        <w:t xml:space="preserve">the </w:t>
      </w:r>
      <w:r w:rsidR="009604D1" w:rsidRPr="00594F2B">
        <w:rPr>
          <w:lang w:bidi="fa-IR"/>
        </w:rPr>
        <w:t>technology</w:t>
      </w:r>
      <w:r w:rsidR="00FC6939">
        <w:rPr>
          <w:lang w:bidi="fa-IR"/>
        </w:rPr>
        <w:t xml:space="preserve"> in question</w:t>
      </w:r>
      <w:r w:rsidR="009604D1" w:rsidRPr="00594F2B">
        <w:rPr>
          <w:lang w:bidi="fa-IR"/>
        </w:rPr>
        <w:t xml:space="preserve">. Past research </w:t>
      </w:r>
      <w:r w:rsidR="00FC6939">
        <w:rPr>
          <w:lang w:bidi="fa-IR"/>
        </w:rPr>
        <w:t xml:space="preserve">has repeatedly confirmed that later-stage technologies, due to lower </w:t>
      </w:r>
      <w:r w:rsidR="00321DCC">
        <w:rPr>
          <w:lang w:bidi="fa-IR"/>
        </w:rPr>
        <w:t xml:space="preserve">levels of </w:t>
      </w:r>
      <w:r w:rsidR="00FC6939">
        <w:rPr>
          <w:lang w:bidi="fa-IR"/>
        </w:rPr>
        <w:t>uncertaint</w:t>
      </w:r>
      <w:r w:rsidR="00321DCC">
        <w:rPr>
          <w:lang w:bidi="fa-IR"/>
        </w:rPr>
        <w:t>y and less time-to-market</w:t>
      </w:r>
      <w:r w:rsidR="00FC6939">
        <w:rPr>
          <w:lang w:bidi="fa-IR"/>
        </w:rPr>
        <w:t>, are more attractive for financiers</w:t>
      </w:r>
      <w:r w:rsidR="00321DCC">
        <w:rPr>
          <w:lang w:bidi="fa-IR"/>
        </w:rPr>
        <w:t>, all else equal. N</w:t>
      </w:r>
      <w:r w:rsidR="009604D1" w:rsidRPr="00594F2B">
        <w:rPr>
          <w:lang w:bidi="fa-IR"/>
        </w:rPr>
        <w:t xml:space="preserve">ew technology firms use their scientific resources and stage of development of their technologies to bargain for additional financial capital from their partners at the time of forming vertical technology alliances (Deeds, </w:t>
      </w:r>
      <w:proofErr w:type="spellStart"/>
      <w:r w:rsidR="009604D1" w:rsidRPr="00594F2B">
        <w:rPr>
          <w:lang w:bidi="fa-IR"/>
        </w:rPr>
        <w:t>Decarolis</w:t>
      </w:r>
      <w:proofErr w:type="spellEnd"/>
      <w:r w:rsidR="009604D1" w:rsidRPr="00594F2B">
        <w:rPr>
          <w:lang w:bidi="fa-IR"/>
        </w:rPr>
        <w:t>, &amp; Coombs, 1997</w:t>
      </w:r>
      <w:r w:rsidR="00321DCC">
        <w:rPr>
          <w:lang w:bidi="fa-IR"/>
        </w:rPr>
        <w:t xml:space="preserve">; </w:t>
      </w:r>
      <w:r w:rsidR="009604D1" w:rsidRPr="00594F2B">
        <w:rPr>
          <w:lang w:bidi="fa-IR"/>
        </w:rPr>
        <w:t>).</w:t>
      </w:r>
      <w:r w:rsidR="00456BA7" w:rsidRPr="00594F2B">
        <w:rPr>
          <w:lang w:bidi="fa-IR"/>
        </w:rPr>
        <w:t xml:space="preserve"> We therefore </w:t>
      </w:r>
      <w:r w:rsidR="008C4EB8" w:rsidRPr="00594F2B">
        <w:rPr>
          <w:lang w:bidi="fa-IR"/>
        </w:rPr>
        <w:t>seek</w:t>
      </w:r>
      <w:r w:rsidR="00456BA7" w:rsidRPr="00594F2B">
        <w:rPr>
          <w:lang w:bidi="fa-IR"/>
        </w:rPr>
        <w:t xml:space="preserve"> to answer the following questions: What is the relationship between a biotech firm’s depth or breadth of technological resources and the amount of financial capital it obtains from the big pharma partner? How do depth and breadth combine with </w:t>
      </w:r>
      <w:r w:rsidR="008C4EB8" w:rsidRPr="00594F2B">
        <w:rPr>
          <w:lang w:bidi="fa-IR"/>
        </w:rPr>
        <w:t xml:space="preserve">the </w:t>
      </w:r>
      <w:r w:rsidR="00456BA7" w:rsidRPr="00594F2B">
        <w:rPr>
          <w:lang w:bidi="fa-IR"/>
        </w:rPr>
        <w:t xml:space="preserve">entry stage of technology development to give the </w:t>
      </w:r>
      <w:r w:rsidR="00194E9A" w:rsidRPr="00594F2B">
        <w:rPr>
          <w:lang w:bidi="fa-IR"/>
        </w:rPr>
        <w:t xml:space="preserve">biotech </w:t>
      </w:r>
      <w:r w:rsidR="00456BA7" w:rsidRPr="00594F2B">
        <w:rPr>
          <w:lang w:bidi="fa-IR"/>
        </w:rPr>
        <w:t xml:space="preserve">firm leverage to raise more funds in </w:t>
      </w:r>
      <w:r w:rsidR="0086379E" w:rsidRPr="00594F2B">
        <w:rPr>
          <w:lang w:bidi="fa-IR"/>
        </w:rPr>
        <w:t xml:space="preserve">an </w:t>
      </w:r>
      <w:r w:rsidR="00456BA7" w:rsidRPr="00594F2B">
        <w:rPr>
          <w:lang w:bidi="fa-IR"/>
        </w:rPr>
        <w:t>alliance?</w:t>
      </w:r>
      <w:r w:rsidR="00632EC4">
        <w:rPr>
          <w:lang w:bidi="fa-IR"/>
        </w:rPr>
        <w:t xml:space="preserve"> And finally, </w:t>
      </w:r>
      <w:r w:rsidR="00632EC4">
        <w:rPr>
          <w:lang w:bidi="fa-IR"/>
        </w:rPr>
        <w:lastRenderedPageBreak/>
        <w:t>does the governance structure of the alliance (whether equity-based or not) play a role in this relationship?</w:t>
      </w:r>
    </w:p>
    <w:p w14:paraId="13B10293" w14:textId="65942E7D" w:rsidR="00592844" w:rsidRPr="00594F2B" w:rsidRDefault="008C4EB8" w:rsidP="00DC087D">
      <w:pPr>
        <w:pStyle w:val="SalehProyectoTesisFormatting"/>
        <w:ind w:firstLine="0"/>
        <w:rPr>
          <w:lang w:bidi="fa-IR"/>
        </w:rPr>
      </w:pPr>
      <w:r w:rsidRPr="00594F2B">
        <w:rPr>
          <w:bCs/>
          <w:lang w:bidi="fa-IR"/>
        </w:rPr>
        <w:t>We believe our</w:t>
      </w:r>
      <w:r w:rsidRPr="00594F2B">
        <w:t xml:space="preserve"> </w:t>
      </w:r>
      <w:commentRangeStart w:id="3"/>
      <w:commentRangeEnd w:id="3"/>
      <w:r w:rsidR="0094688E" w:rsidRPr="00594F2B">
        <w:rPr>
          <w:lang w:bidi="fa-IR"/>
        </w:rPr>
        <w:t xml:space="preserve">study contributes to the literature on strategic alliances and technology management in several ways: First, it </w:t>
      </w:r>
      <w:r w:rsidRPr="00594F2B">
        <w:rPr>
          <w:lang w:bidi="fa-IR"/>
        </w:rPr>
        <w:t xml:space="preserve">helps </w:t>
      </w:r>
      <w:r w:rsidR="0094688E" w:rsidRPr="00594F2B">
        <w:rPr>
          <w:lang w:bidi="fa-IR"/>
        </w:rPr>
        <w:t xml:space="preserve">explain </w:t>
      </w:r>
      <w:r w:rsidR="00594F2B">
        <w:rPr>
          <w:lang w:bidi="fa-IR"/>
        </w:rPr>
        <w:t>contradictory</w:t>
      </w:r>
      <w:r w:rsidR="0094688E" w:rsidRPr="00594F2B">
        <w:rPr>
          <w:lang w:bidi="fa-IR"/>
        </w:rPr>
        <w:t xml:space="preserve"> findings of past research by </w:t>
      </w:r>
      <w:r w:rsidRPr="00594F2B">
        <w:rPr>
          <w:lang w:bidi="fa-IR"/>
        </w:rPr>
        <w:t>showing</w:t>
      </w:r>
      <w:r w:rsidR="0094688E" w:rsidRPr="00594F2B">
        <w:rPr>
          <w:lang w:bidi="fa-IR"/>
        </w:rPr>
        <w:t xml:space="preserve"> that </w:t>
      </w:r>
      <w:r w:rsidR="00632EC4">
        <w:rPr>
          <w:lang w:bidi="fa-IR"/>
        </w:rPr>
        <w:t xml:space="preserve">instead of total stock of patents, </w:t>
      </w:r>
      <w:r w:rsidR="0094688E" w:rsidRPr="00594F2B">
        <w:rPr>
          <w:lang w:bidi="fa-IR"/>
        </w:rPr>
        <w:t xml:space="preserve">technological depth and breadth </w:t>
      </w:r>
      <w:r w:rsidR="00632EC4">
        <w:rPr>
          <w:lang w:bidi="fa-IR"/>
        </w:rPr>
        <w:t>better</w:t>
      </w:r>
      <w:r w:rsidR="0094688E" w:rsidRPr="00594F2B">
        <w:rPr>
          <w:lang w:bidi="fa-IR"/>
        </w:rPr>
        <w:t xml:space="preserve"> </w:t>
      </w:r>
      <w:r w:rsidR="00594F2B">
        <w:rPr>
          <w:lang w:bidi="fa-IR"/>
        </w:rPr>
        <w:t>explain</w:t>
      </w:r>
      <w:r w:rsidRPr="00594F2B" w:rsidDel="008C4EB8">
        <w:rPr>
          <w:lang w:bidi="fa-IR"/>
        </w:rPr>
        <w:t xml:space="preserve"> </w:t>
      </w:r>
      <w:r w:rsidR="0094688E" w:rsidRPr="00594F2B">
        <w:rPr>
          <w:lang w:bidi="fa-IR"/>
        </w:rPr>
        <w:t>how biotech firms differ in their ability to raise funds from big pharma partners.</w:t>
      </w:r>
      <w:r w:rsidR="00632EC4">
        <w:rPr>
          <w:lang w:bidi="fa-IR"/>
        </w:rPr>
        <w:t xml:space="preserve"> </w:t>
      </w:r>
      <w:r w:rsidR="0094688E" w:rsidRPr="00594F2B">
        <w:rPr>
          <w:lang w:bidi="fa-IR"/>
        </w:rPr>
        <w:t xml:space="preserve">Second, </w:t>
      </w:r>
      <w:r w:rsidR="00632EC4">
        <w:rPr>
          <w:lang w:bidi="fa-IR"/>
        </w:rPr>
        <w:t xml:space="preserve">we find that later-stage technologies </w:t>
      </w:r>
      <w:r w:rsidR="00740D34">
        <w:rPr>
          <w:lang w:bidi="fa-IR"/>
        </w:rPr>
        <w:t>as well as</w:t>
      </w:r>
      <w:r w:rsidR="00632EC4">
        <w:rPr>
          <w:lang w:bidi="fa-IR"/>
        </w:rPr>
        <w:t xml:space="preserve"> equity-based governance structures (where the big pharma buys equity stake in the biotech partner) are both </w:t>
      </w:r>
      <w:r w:rsidR="00DC087D">
        <w:rPr>
          <w:lang w:bidi="fa-IR"/>
        </w:rPr>
        <w:t xml:space="preserve">positively </w:t>
      </w:r>
      <w:r w:rsidR="00632EC4">
        <w:rPr>
          <w:lang w:bidi="fa-IR"/>
        </w:rPr>
        <w:t xml:space="preserve">related to </w:t>
      </w:r>
      <w:r w:rsidR="00DC087D">
        <w:rPr>
          <w:lang w:bidi="fa-IR"/>
        </w:rPr>
        <w:t>the amount of</w:t>
      </w:r>
      <w:r w:rsidR="00632EC4">
        <w:rPr>
          <w:lang w:bidi="fa-IR"/>
        </w:rPr>
        <w:t xml:space="preserve"> financial capital</w:t>
      </w:r>
      <w:r w:rsidR="00740D34">
        <w:rPr>
          <w:lang w:bidi="fa-IR"/>
        </w:rPr>
        <w:t xml:space="preserve"> </w:t>
      </w:r>
      <w:r w:rsidR="00DC087D">
        <w:rPr>
          <w:lang w:bidi="fa-IR"/>
        </w:rPr>
        <w:t>the biotech firms receives upon entering the alliance</w:t>
      </w:r>
      <w:r w:rsidR="00632EC4">
        <w:rPr>
          <w:lang w:bidi="fa-IR"/>
        </w:rPr>
        <w:t>. We therefore check for any combined effects: O</w:t>
      </w:r>
      <w:r w:rsidRPr="00594F2B">
        <w:rPr>
          <w:lang w:bidi="fa-IR"/>
        </w:rPr>
        <w:t>ur study show</w:t>
      </w:r>
      <w:r w:rsidR="00632EC4">
        <w:rPr>
          <w:lang w:bidi="fa-IR"/>
        </w:rPr>
        <w:t>s</w:t>
      </w:r>
      <w:r w:rsidR="0094688E" w:rsidRPr="00594F2B">
        <w:rPr>
          <w:lang w:bidi="fa-IR"/>
        </w:rPr>
        <w:t xml:space="preserve"> that although </w:t>
      </w:r>
      <w:r w:rsidR="00632EC4">
        <w:rPr>
          <w:lang w:bidi="fa-IR"/>
        </w:rPr>
        <w:t>technological depth enables</w:t>
      </w:r>
      <w:r w:rsidR="0094688E" w:rsidRPr="00594F2B">
        <w:rPr>
          <w:lang w:bidi="fa-IR"/>
        </w:rPr>
        <w:t xml:space="preserve"> firms </w:t>
      </w:r>
      <w:r w:rsidR="00632EC4">
        <w:rPr>
          <w:lang w:bidi="fa-IR"/>
        </w:rPr>
        <w:t>to receive</w:t>
      </w:r>
      <w:r w:rsidR="0094688E" w:rsidRPr="00594F2B">
        <w:rPr>
          <w:lang w:bidi="fa-IR"/>
        </w:rPr>
        <w:t xml:space="preserve"> more</w:t>
      </w:r>
      <w:r w:rsidRPr="00594F2B">
        <w:rPr>
          <w:lang w:bidi="fa-IR"/>
        </w:rPr>
        <w:t xml:space="preserve"> funds </w:t>
      </w:r>
      <w:r w:rsidR="00740D34">
        <w:rPr>
          <w:lang w:bidi="fa-IR"/>
        </w:rPr>
        <w:t>and</w:t>
      </w:r>
      <w:r w:rsidR="00632EC4">
        <w:rPr>
          <w:lang w:bidi="fa-IR"/>
        </w:rPr>
        <w:t xml:space="preserve"> breadth inhibits them from doing so</w:t>
      </w:r>
      <w:r w:rsidR="0094688E" w:rsidRPr="00594F2B">
        <w:rPr>
          <w:lang w:bidi="fa-IR"/>
        </w:rPr>
        <w:t xml:space="preserve">, </w:t>
      </w:r>
      <w:r w:rsidR="00632EC4">
        <w:rPr>
          <w:lang w:bidi="fa-IR"/>
        </w:rPr>
        <w:t xml:space="preserve">both of these dimensions will help the firm </w:t>
      </w:r>
      <w:r w:rsidR="0094688E" w:rsidRPr="00594F2B">
        <w:rPr>
          <w:lang w:bidi="fa-IR"/>
        </w:rPr>
        <w:t xml:space="preserve">to </w:t>
      </w:r>
      <w:r w:rsidR="00632EC4">
        <w:rPr>
          <w:lang w:bidi="fa-IR"/>
        </w:rPr>
        <w:t>tap deep pockets if the</w:t>
      </w:r>
      <w:r w:rsidR="009B4CF1" w:rsidRPr="00594F2B">
        <w:rPr>
          <w:lang w:bidi="fa-IR"/>
        </w:rPr>
        <w:t xml:space="preserve"> technology</w:t>
      </w:r>
      <w:r w:rsidR="00632EC4">
        <w:rPr>
          <w:lang w:bidi="fa-IR"/>
        </w:rPr>
        <w:t xml:space="preserve"> in question</w:t>
      </w:r>
      <w:r w:rsidR="009B4CF1" w:rsidRPr="00594F2B">
        <w:rPr>
          <w:lang w:bidi="fa-IR"/>
        </w:rPr>
        <w:t xml:space="preserve"> is well-developed.</w:t>
      </w:r>
      <w:r w:rsidR="00DC087D">
        <w:rPr>
          <w:lang w:bidi="fa-IR"/>
        </w:rPr>
        <w:t xml:space="preserve"> </w:t>
      </w:r>
      <w:r w:rsidR="00DC087D" w:rsidRPr="00594F2B">
        <w:rPr>
          <w:lang w:bidi="fa-IR"/>
        </w:rPr>
        <w:t xml:space="preserve">Our paper therefore seeks to add to the literature by not only disentangling the notions of breadth versus depth but also by showing the moderation </w:t>
      </w:r>
      <w:r w:rsidR="009C0205">
        <w:rPr>
          <w:lang w:bidi="fa-IR"/>
        </w:rPr>
        <w:t>role of</w:t>
      </w:r>
      <w:r w:rsidR="00DC087D" w:rsidRPr="00594F2B">
        <w:rPr>
          <w:lang w:bidi="fa-IR"/>
        </w:rPr>
        <w:t xml:space="preserve"> the entry stage of technology development</w:t>
      </w:r>
      <w:r w:rsidR="009C0205">
        <w:rPr>
          <w:lang w:bidi="fa-IR"/>
        </w:rPr>
        <w:t xml:space="preserve"> (Srivastava &amp; </w:t>
      </w:r>
      <w:proofErr w:type="spellStart"/>
      <w:r w:rsidR="009C0205" w:rsidRPr="009C0205">
        <w:t>Laplume</w:t>
      </w:r>
      <w:proofErr w:type="spellEnd"/>
      <w:r w:rsidR="009C0205" w:rsidRPr="009C0205">
        <w:t>,</w:t>
      </w:r>
      <w:r w:rsidR="009C0205">
        <w:rPr>
          <w:lang w:bidi="fa-IR"/>
        </w:rPr>
        <w:t xml:space="preserve"> 2014)</w:t>
      </w:r>
      <w:r w:rsidR="00DC087D" w:rsidRPr="00594F2B">
        <w:rPr>
          <w:lang w:bidi="fa-IR"/>
        </w:rPr>
        <w:t>.</w:t>
      </w:r>
      <w:r w:rsidR="009B4CF1" w:rsidRPr="00594F2B">
        <w:rPr>
          <w:lang w:bidi="fa-IR"/>
        </w:rPr>
        <w:t xml:space="preserve"> Third, </w:t>
      </w:r>
      <w:r w:rsidR="00346C18" w:rsidRPr="00594F2B">
        <w:rPr>
          <w:lang w:bidi="fa-IR"/>
        </w:rPr>
        <w:t>our study highlights</w:t>
      </w:r>
      <w:r w:rsidR="009B4CF1" w:rsidRPr="00594F2B">
        <w:rPr>
          <w:lang w:bidi="fa-IR"/>
        </w:rPr>
        <w:t xml:space="preserve"> the </w:t>
      </w:r>
      <w:r w:rsidR="009C0205">
        <w:rPr>
          <w:lang w:bidi="fa-IR"/>
        </w:rPr>
        <w:t xml:space="preserve">exclusive </w:t>
      </w:r>
      <w:r w:rsidR="009B4CF1" w:rsidRPr="00594F2B">
        <w:rPr>
          <w:lang w:bidi="fa-IR"/>
        </w:rPr>
        <w:t>roles of depth and breadth of knowledge as drivers of alliance-level outcomes.</w:t>
      </w:r>
      <w:r w:rsidR="00346C18" w:rsidRPr="00594F2B">
        <w:rPr>
          <w:lang w:bidi="fa-IR"/>
        </w:rPr>
        <w:t xml:space="preserve"> </w:t>
      </w:r>
    </w:p>
    <w:p w14:paraId="09BDC185" w14:textId="77777777" w:rsidR="00DC087D" w:rsidRDefault="00346C18" w:rsidP="008060BA">
      <w:pPr>
        <w:spacing w:after="160" w:line="480" w:lineRule="auto"/>
        <w:jc w:val="both"/>
        <w:rPr>
          <w:lang w:val="en-US" w:bidi="fa-IR"/>
        </w:rPr>
      </w:pPr>
      <w:r w:rsidRPr="00594F2B">
        <w:rPr>
          <w:lang w:val="en-US" w:bidi="fa-IR"/>
        </w:rPr>
        <w:t xml:space="preserve">The figure shown below captures the key aspects of our study and provides a framework for our hypotheses development that follows. </w:t>
      </w:r>
    </w:p>
    <w:p w14:paraId="477846DB" w14:textId="4FB5C696" w:rsidR="00346C18" w:rsidRPr="00594F2B" w:rsidRDefault="00346C18" w:rsidP="008060BA">
      <w:pPr>
        <w:spacing w:after="160" w:line="480" w:lineRule="auto"/>
        <w:jc w:val="both"/>
        <w:rPr>
          <w:rFonts w:eastAsia="Calibri" w:cs="Arial"/>
          <w:szCs w:val="24"/>
          <w:lang w:val="en-US" w:eastAsia="en-US" w:bidi="fa-IR"/>
        </w:rPr>
      </w:pPr>
      <w:r w:rsidRPr="00594F2B">
        <w:rPr>
          <w:rFonts w:eastAsia="Calibri" w:cs="Arial"/>
          <w:szCs w:val="24"/>
          <w:lang w:val="en-US" w:eastAsia="en-US" w:bidi="fa-IR"/>
        </w:rPr>
        <w:t xml:space="preserve">It is commonly believed that in most biotech-pharma alliances, the big pharma firm chooses among many potential biotech partners </w:t>
      </w:r>
      <w:r w:rsidRPr="00594F2B">
        <w:rPr>
          <w:rFonts w:eastAsia="Calibri" w:cs="Arial"/>
          <w:szCs w:val="24"/>
          <w:lang w:val="en-US" w:eastAsia="en-US" w:bidi="fa-IR"/>
        </w:rPr>
        <w:fldChar w:fldCharType="begin" w:fldLock="1"/>
      </w:r>
      <w:r w:rsidR="00207DE0">
        <w:rPr>
          <w:rFonts w:eastAsia="Calibri" w:cs="Arial"/>
          <w:szCs w:val="24"/>
          <w:lang w:val="en-US" w:eastAsia="en-US" w:bidi="fa-IR"/>
        </w:rPr>
        <w:instrText>ADDIN CSL_CITATION { "citationItems" : [ { "id" : "ITEM-1", "itemData" : { "DOI" : "10.1002/smj.2177", "ISSN" : "01432095", "author" : [ { "dropping-particle" : "", "family" : "Mason", "given" : "Richard", "non-dropping-particle" : "", "parse-names" : false, "suffix" : "" }, { "dropping-particle" : "", "family" : "Drakeman", "given" : "Donald L.", "non-dropping-particle" : "", "parse-names" : false, "suffix" : "" } ], "container-title" : "Strategic Management Journal", "id" : "ITEM-1", "issue" : "10", "issued" : { "date-parts" : [ [ "2014", "10" ] ] }, "page" : "1564-1565", "title" : "Comment on \u201cfishing for sharks: Partner selection in biopharmaceutical R&amp;D alliances\u201d by diestre and rajagopalan", "type" : "article-journal", "volume" : "35" }, "uris" : [ "http://www.mendeley.com/documents/?uuid=e24373d8-c6c1-3de5-bb51-04bba579494f", "http://www.mendeley.com/documents/?uuid=df9ff850-43fe-4644-aefc-b5bd3f629055" ] } ], "mendeley" : { "formattedCitation" : "(Mason &amp; Drakeman, 2014)", "plainTextFormattedCitation" : "(Mason &amp; Drakeman, 2014)", "previouslyFormattedCitation" : "(Mason &amp; Drakeman, 2014)" }, "properties" : {  }, "schema" : "https://github.com/citation-style-language/schema/raw/master/csl-citation.json" }</w:instrText>
      </w:r>
      <w:r w:rsidRPr="00594F2B">
        <w:rPr>
          <w:rFonts w:eastAsia="Calibri" w:cs="Arial"/>
          <w:szCs w:val="24"/>
          <w:lang w:val="en-US" w:eastAsia="en-US" w:bidi="fa-IR"/>
        </w:rPr>
        <w:fldChar w:fldCharType="separate"/>
      </w:r>
      <w:r w:rsidR="00207DE0" w:rsidRPr="00207DE0">
        <w:rPr>
          <w:rFonts w:eastAsia="Calibri" w:cs="Arial"/>
          <w:noProof/>
          <w:szCs w:val="24"/>
          <w:lang w:val="en-US" w:eastAsia="en-US" w:bidi="fa-IR"/>
        </w:rPr>
        <w:t>(Mason &amp; Drakeman, 2014)</w:t>
      </w:r>
      <w:r w:rsidRPr="00594F2B">
        <w:rPr>
          <w:rFonts w:eastAsia="Calibri" w:cs="Arial"/>
          <w:szCs w:val="24"/>
          <w:lang w:val="en-US" w:eastAsia="en-US" w:bidi="fa-IR"/>
        </w:rPr>
        <w:fldChar w:fldCharType="end"/>
      </w:r>
      <w:r w:rsidRPr="00594F2B">
        <w:rPr>
          <w:rFonts w:eastAsia="Calibri" w:cs="Arial"/>
          <w:szCs w:val="24"/>
          <w:lang w:val="en-US" w:eastAsia="en-US" w:bidi="fa-IR"/>
        </w:rPr>
        <w:t xml:space="preserve">. Nevertheless, past research has also found that biotechnology firms with partners significantly larger than themselves can still have bargaining power to get their interests met </w:t>
      </w:r>
      <w:r w:rsidRPr="00594F2B">
        <w:rPr>
          <w:rFonts w:eastAsia="Calibri" w:cs="Arial"/>
          <w:szCs w:val="24"/>
          <w:lang w:val="en-US" w:eastAsia="en-US" w:bidi="fa-IR"/>
        </w:rPr>
        <w:fldChar w:fldCharType="begin" w:fldLock="1"/>
      </w:r>
      <w:r w:rsidR="00207DE0">
        <w:rPr>
          <w:rFonts w:eastAsia="Calibri" w:cs="Arial"/>
          <w:szCs w:val="24"/>
          <w:lang w:val="en-US" w:eastAsia="en-US" w:bidi="fa-IR"/>
        </w:rPr>
        <w:instrText>ADDIN CSL_CITATION { "citationItems" : [ { "id" : "ITEM-1", "itemData" : { "DOI" : "10.1016/j.jengtecman.2009.06.004", "ISBN" : "0923-4748", "ISSN" : "09234748", "abstract" : "Alliances between smaller biotechnology firms and larger pharmaceutical firms are the backbone of new product development strategies within the pharmaceutical industry. While pharmaceutical firms seek access to new technologies and products, small biotechnology firms depend on these alliance relationships to access key resources such as financing and downstream capabilities because they typically do not have the resources needed in-house to successfully commercialize their products. In this study, we investigate the governance structure of these alliance relationships arguing that the more resource rich a biotechnology firm is, in terms of technical, commercial, and social capital, the less likely it is to give up equity to an alliance partner. Results suggest that greater biotech patent quality, cash position, and alliance credibility impact the type of governance structure that is chosen by the alliance partners and therefore the extent of control that the biotechnology firm is willing to give up in the relationship. \u00a9 2009 Elsevier B.V. All rights reserved.", "author" : [ { "dropping-particle" : "", "family" : "Dunne", "given" : "Danielle D.", "non-dropping-particle" : "", "parse-names" : false, "suffix" : "" }, { "dropping-particle" : "", "family" : "Gopalakrishnan", "given" : "Shanthi", "non-dropping-particle" : "", "parse-names" : false, "suffix" : "" }, { "dropping-particle" : "", "family" : "Scillitoe", "given" : "Joanne L.", "non-dropping-particle" : "", "parse-names" : false, "suffix" : "" } ], "container-title" : "Journal of Engineering and Technology Management - JET-M", "id" : "ITEM-1", "issue" : "3", "issued" : { "date-parts" : [ [ "2009" ] ] }, "page" : "181-195", "title" : "An empirical study of the impact of firm resources on alliance governance structures", "type" : "article-journal", "volume" : "26" }, "uris" : [ "http://www.mendeley.com/documents/?uuid=04a99a58-1db3-4784-a9ba-876c687eb7aa", "http://www.mendeley.com/documents/?uuid=a4c5f2ba-cf20-4022-bc9a-bd0dab11404b" ] } ], "mendeley" : { "formattedCitation" : "(Dunne, Gopalakrishnan, &amp; Scillitoe, 2009)", "manualFormatting" : "(Dunne, Gopalakrishnan and Scillitoe, 2009)", "plainTextFormattedCitation" : "(Dunne, Gopalakrishnan, &amp; Scillitoe, 2009)", "previouslyFormattedCitation" : "(Dunne, Gopalakrishnan, &amp; Scillitoe, 2009)" }, "properties" : {  }, "schema" : "https://github.com/citation-style-language/schema/raw/master/csl-citation.json" }</w:instrText>
      </w:r>
      <w:r w:rsidRPr="00594F2B">
        <w:rPr>
          <w:rFonts w:eastAsia="Calibri" w:cs="Arial"/>
          <w:szCs w:val="24"/>
          <w:lang w:val="en-US" w:eastAsia="en-US" w:bidi="fa-IR"/>
        </w:rPr>
        <w:fldChar w:fldCharType="separate"/>
      </w:r>
      <w:r w:rsidRPr="00594F2B">
        <w:rPr>
          <w:rFonts w:eastAsia="Calibri" w:cs="Arial"/>
          <w:noProof/>
          <w:szCs w:val="24"/>
          <w:lang w:val="en-US" w:eastAsia="en-US" w:bidi="fa-IR"/>
        </w:rPr>
        <w:t>(Dunne, Gopalakrishnan and Scillitoe, 2009)</w:t>
      </w:r>
      <w:r w:rsidRPr="00594F2B">
        <w:rPr>
          <w:rFonts w:eastAsia="Calibri" w:cs="Arial"/>
          <w:szCs w:val="24"/>
          <w:lang w:val="en-US" w:eastAsia="en-US" w:bidi="fa-IR"/>
        </w:rPr>
        <w:fldChar w:fldCharType="end"/>
      </w:r>
      <w:r w:rsidRPr="00594F2B">
        <w:rPr>
          <w:rFonts w:eastAsia="Calibri" w:cs="Arial"/>
          <w:szCs w:val="24"/>
          <w:lang w:val="en-US" w:eastAsia="en-US" w:bidi="fa-IR"/>
        </w:rPr>
        <w:t>. Therefore, although the objectives and insights of both partners are important, the focus of this study is on the biotech firm’s technological resources and how it</w:t>
      </w:r>
      <w:r w:rsidR="003B5830" w:rsidRPr="00594F2B">
        <w:rPr>
          <w:rFonts w:eastAsia="Calibri" w:cs="Arial"/>
          <w:szCs w:val="24"/>
          <w:lang w:val="en-US" w:eastAsia="en-US" w:bidi="fa-IR"/>
        </w:rPr>
        <w:t>s</w:t>
      </w:r>
      <w:r w:rsidRPr="00594F2B">
        <w:rPr>
          <w:rFonts w:eastAsia="Calibri" w:cs="Arial"/>
          <w:szCs w:val="24"/>
          <w:lang w:val="en-US" w:eastAsia="en-US" w:bidi="fa-IR"/>
        </w:rPr>
        <w:t xml:space="preserve"> depth and breadth are perceived by the pharma partner.</w:t>
      </w:r>
      <w:r w:rsidR="003B5830" w:rsidRPr="00594F2B">
        <w:rPr>
          <w:rFonts w:eastAsia="Calibri" w:cs="Arial"/>
          <w:szCs w:val="24"/>
          <w:lang w:val="en-US" w:eastAsia="en-US" w:bidi="fa-IR"/>
        </w:rPr>
        <w:t xml:space="preserve"> </w:t>
      </w:r>
      <w:r w:rsidR="007A09CB" w:rsidRPr="00594F2B">
        <w:rPr>
          <w:rFonts w:eastAsia="Calibri" w:cs="Arial"/>
          <w:szCs w:val="24"/>
          <w:lang w:val="en-US" w:eastAsia="en-US" w:bidi="fa-IR"/>
        </w:rPr>
        <w:t xml:space="preserve">Furthermore, the focus on studying </w:t>
      </w:r>
      <w:r w:rsidR="007A09CB" w:rsidRPr="00594F2B">
        <w:rPr>
          <w:rFonts w:eastAsia="Calibri" w:cs="Arial"/>
          <w:szCs w:val="24"/>
          <w:lang w:val="en-US" w:eastAsia="en-US" w:bidi="fa-IR"/>
        </w:rPr>
        <w:lastRenderedPageBreak/>
        <w:t>biopharmaceutical alliances is motivated both by the importance and idiosyncrasies of this dynamic industry as well as by its suitability as a setting for research on technological depth and breadth: Based on industry insights, we believe that most biotech firms that primarily seek alliances with big pharma partners are resource-constrained to the extent that they cannot simultaneously invest in diversifying across and specializing within specific technology domains</w:t>
      </w:r>
      <w:r w:rsidR="00C91792" w:rsidRPr="00594F2B">
        <w:rPr>
          <w:rFonts w:eastAsia="Calibri" w:cs="Arial"/>
          <w:szCs w:val="24"/>
          <w:lang w:val="en-US" w:eastAsia="en-US" w:bidi="fa-IR"/>
        </w:rPr>
        <w:t>.</w:t>
      </w:r>
      <w:r w:rsidR="008060BA">
        <w:rPr>
          <w:rFonts w:eastAsia="Calibri" w:cs="Arial"/>
          <w:szCs w:val="24"/>
          <w:lang w:val="en-US" w:eastAsia="en-US" w:bidi="fa-IR"/>
        </w:rPr>
        <w:t xml:space="preserve"> Whether and when to allocate resources to increase the depth or the breadth dimension of technology remains a managerial question for biotechnology firms, for which the findings of our study serve as a basis.</w:t>
      </w:r>
    </w:p>
    <w:p w14:paraId="1318DB1C" w14:textId="5FF0508D" w:rsidR="00346C18" w:rsidRPr="009A3E98" w:rsidRDefault="00346C18" w:rsidP="006210C8">
      <w:pPr>
        <w:pStyle w:val="SalehProyectoTesisFormatting"/>
        <w:ind w:firstLine="0"/>
        <w:rPr>
          <w:i/>
          <w:iCs/>
          <w:lang w:bidi="fa-IR"/>
        </w:rPr>
      </w:pPr>
      <w:r w:rsidRPr="009A3E98">
        <w:rPr>
          <w:i/>
          <w:iCs/>
          <w:lang w:bidi="fa-IR"/>
        </w:rPr>
        <w:t>Figure 1.  Biotech Partner’s Technological Depth, Breadth, and Upfront Financial Capital</w:t>
      </w:r>
    </w:p>
    <w:p w14:paraId="7228BE41" w14:textId="68480238" w:rsidR="008060BA" w:rsidRPr="00594F2B" w:rsidRDefault="008060BA" w:rsidP="006210C8">
      <w:pPr>
        <w:pStyle w:val="SalehProyectoTesisFormatting"/>
        <w:ind w:firstLine="0"/>
        <w:rPr>
          <w:lang w:bidi="fa-IR"/>
        </w:rPr>
      </w:pPr>
    </w:p>
    <w:p w14:paraId="08BC88D0" w14:textId="5C5E754B" w:rsidR="00592844" w:rsidRPr="00594F2B" w:rsidRDefault="009A3E98" w:rsidP="00592844">
      <w:pPr>
        <w:spacing w:line="480" w:lineRule="auto"/>
        <w:ind w:firstLine="720"/>
        <w:jc w:val="both"/>
        <w:rPr>
          <w:szCs w:val="24"/>
          <w:lang w:val="en-US" w:bidi="fa-IR"/>
        </w:rPr>
      </w:pPr>
      <w:r w:rsidRPr="00594F2B">
        <w:rPr>
          <w:rFonts w:asciiTheme="majorHAnsi" w:hAnsiTheme="majorHAnsi" w:cstheme="majorBidi"/>
          <w:noProof/>
          <w:szCs w:val="24"/>
          <w:lang w:val="en-US" w:eastAsia="en-US"/>
        </w:rPr>
        <mc:AlternateContent>
          <mc:Choice Requires="wpg">
            <w:drawing>
              <wp:anchor distT="0" distB="0" distL="114300" distR="114300" simplePos="0" relativeHeight="251669504" behindDoc="0" locked="0" layoutInCell="1" allowOverlap="1" wp14:anchorId="702284C4" wp14:editId="24046C91">
                <wp:simplePos x="0" y="0"/>
                <wp:positionH relativeFrom="margin">
                  <wp:align>right</wp:align>
                </wp:positionH>
                <wp:positionV relativeFrom="paragraph">
                  <wp:posOffset>1905</wp:posOffset>
                </wp:positionV>
                <wp:extent cx="5753100" cy="2432998"/>
                <wp:effectExtent l="0" t="0" r="19050" b="24765"/>
                <wp:wrapNone/>
                <wp:docPr id="17" name="Group 17"/>
                <wp:cNvGraphicFramePr/>
                <a:graphic xmlns:a="http://schemas.openxmlformats.org/drawingml/2006/main">
                  <a:graphicData uri="http://schemas.microsoft.com/office/word/2010/wordprocessingGroup">
                    <wpg:wgp>
                      <wpg:cNvGrpSpPr/>
                      <wpg:grpSpPr>
                        <a:xfrm>
                          <a:off x="0" y="0"/>
                          <a:ext cx="5753100" cy="2432998"/>
                          <a:chOff x="0" y="0"/>
                          <a:chExt cx="5143500" cy="1895475"/>
                        </a:xfrm>
                      </wpg:grpSpPr>
                      <wps:wsp>
                        <wps:cNvPr id="18" name="Rounded Rectangle 18"/>
                        <wps:cNvSpPr/>
                        <wps:spPr>
                          <a:xfrm>
                            <a:off x="0" y="114300"/>
                            <a:ext cx="1238250" cy="7048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71A8B1" w14:textId="77777777" w:rsidR="00FC6939" w:rsidRPr="009A3E98" w:rsidRDefault="00FC6939" w:rsidP="00AF53F5">
                              <w:pPr>
                                <w:jc w:val="center"/>
                                <w:rPr>
                                  <w:b/>
                                  <w:bCs/>
                                </w:rPr>
                              </w:pPr>
                              <w:proofErr w:type="spellStart"/>
                              <w:r w:rsidRPr="009A3E98">
                                <w:rPr>
                                  <w:b/>
                                  <w:bCs/>
                                </w:rPr>
                                <w:t>Biotech</w:t>
                              </w:r>
                              <w:proofErr w:type="spellEnd"/>
                              <w:r w:rsidRPr="009A3E98">
                                <w:rPr>
                                  <w:b/>
                                  <w:bCs/>
                                </w:rPr>
                                <w:t xml:space="preserve"> </w:t>
                              </w:r>
                              <w:proofErr w:type="spellStart"/>
                              <w:r w:rsidRPr="009A3E98">
                                <w:rPr>
                                  <w:b/>
                                  <w:bCs/>
                                </w:rPr>
                                <w:t>firm’s</w:t>
                              </w:r>
                              <w:proofErr w:type="spellEnd"/>
                              <w:r w:rsidRPr="009A3E98">
                                <w:rPr>
                                  <w:b/>
                                  <w:bCs/>
                                </w:rPr>
                                <w:t xml:space="preserve"> </w:t>
                              </w:r>
                              <w:r w:rsidRPr="009A3E98">
                                <w:rPr>
                                  <w:b/>
                                  <w:bCs/>
                                  <w:lang w:val="en-US"/>
                                </w:rPr>
                                <w:t>Technological</w:t>
                              </w:r>
                              <w:r w:rsidRPr="009A3E98">
                                <w:rPr>
                                  <w:b/>
                                  <w:bCs/>
                                </w:rPr>
                                <w:t xml:space="preserve"> </w:t>
                              </w:r>
                              <w:proofErr w:type="spellStart"/>
                              <w:r w:rsidRPr="009A3E98">
                                <w:rPr>
                                  <w:b/>
                                  <w:bCs/>
                                </w:rPr>
                                <w:t>Depth</w:t>
                              </w:r>
                              <w:proofErr w:type="spellEnd"/>
                            </w:p>
                            <w:p w14:paraId="00613425" w14:textId="77777777" w:rsidR="00FC6939" w:rsidRPr="009A3E98" w:rsidRDefault="00FC6939" w:rsidP="00AF53F5">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4229100" y="399999"/>
                            <a:ext cx="914400" cy="97142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1A1881" w14:textId="0C4A3EBE" w:rsidR="00FC6939" w:rsidRPr="009A3E98" w:rsidRDefault="00FC6939" w:rsidP="009A3E98">
                              <w:pPr>
                                <w:jc w:val="center"/>
                                <w:rPr>
                                  <w:b/>
                                  <w:bCs/>
                                </w:rPr>
                              </w:pPr>
                              <w:r w:rsidRPr="009A3E98">
                                <w:rPr>
                                  <w:b/>
                                  <w:bCs/>
                                </w:rPr>
                                <w:t>Financial Capital</w:t>
                              </w:r>
                              <w:r>
                                <w:rPr>
                                  <w:b/>
                                  <w:bCs/>
                                </w:rPr>
                                <w:br/>
                              </w:r>
                              <w:proofErr w:type="spellStart"/>
                              <w:r>
                                <w:rPr>
                                  <w:b/>
                                  <w:bCs/>
                                </w:rPr>
                                <w:t>provided</w:t>
                              </w:r>
                              <w:proofErr w:type="spellEnd"/>
                              <w:r>
                                <w:rPr>
                                  <w:b/>
                                  <w:bCs/>
                                </w:rPr>
                                <w:t xml:space="preserve"> by Pharma </w:t>
                              </w:r>
                              <w:proofErr w:type="spellStart"/>
                              <w:r>
                                <w:rPr>
                                  <w:b/>
                                  <w:bCs/>
                                </w:rPr>
                                <w:t>partner</w:t>
                              </w:r>
                              <w:proofErr w:type="spellEnd"/>
                              <w:r w:rsidRPr="009A3E98">
                                <w:rPr>
                                  <w:b/>
                                  <w:bCs/>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38100" y="1171575"/>
                            <a:ext cx="1238250" cy="7239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2AE086" w14:textId="77777777" w:rsidR="00FC6939" w:rsidRPr="009A3E98" w:rsidRDefault="00FC6939" w:rsidP="00AF53F5">
                              <w:pPr>
                                <w:jc w:val="center"/>
                                <w:rPr>
                                  <w:b/>
                                  <w:bCs/>
                                </w:rPr>
                              </w:pPr>
                              <w:proofErr w:type="spellStart"/>
                              <w:r w:rsidRPr="009A3E98">
                                <w:rPr>
                                  <w:b/>
                                  <w:bCs/>
                                </w:rPr>
                                <w:t>Biotech</w:t>
                              </w:r>
                              <w:proofErr w:type="spellEnd"/>
                              <w:r w:rsidRPr="009A3E98">
                                <w:rPr>
                                  <w:b/>
                                  <w:bCs/>
                                </w:rPr>
                                <w:t xml:space="preserve"> </w:t>
                              </w:r>
                              <w:proofErr w:type="spellStart"/>
                              <w:r w:rsidRPr="009A3E98">
                                <w:rPr>
                                  <w:b/>
                                  <w:bCs/>
                                </w:rPr>
                                <w:t>firm’s</w:t>
                              </w:r>
                              <w:proofErr w:type="spellEnd"/>
                              <w:r w:rsidRPr="009A3E98">
                                <w:rPr>
                                  <w:b/>
                                  <w:bCs/>
                                </w:rPr>
                                <w:t xml:space="preserve"> </w:t>
                              </w:r>
                              <w:proofErr w:type="spellStart"/>
                              <w:r w:rsidRPr="009A3E98">
                                <w:rPr>
                                  <w:b/>
                                  <w:bCs/>
                                </w:rPr>
                                <w:t>Technological</w:t>
                              </w:r>
                              <w:proofErr w:type="spellEnd"/>
                              <w:r w:rsidRPr="009A3E98">
                                <w:rPr>
                                  <w:b/>
                                  <w:bCs/>
                                </w:rPr>
                                <w:t xml:space="preserve"> </w:t>
                              </w:r>
                              <w:proofErr w:type="spellStart"/>
                              <w:r w:rsidRPr="009A3E98">
                                <w:rPr>
                                  <w:b/>
                                  <w:bCs/>
                                </w:rPr>
                                <w:t>Breadth</w:t>
                              </w:r>
                              <w:proofErr w:type="spellEnd"/>
                            </w:p>
                            <w:p w14:paraId="07F41F9E" w14:textId="77777777" w:rsidR="00FC6939" w:rsidRDefault="00FC6939" w:rsidP="00AF53F5">
                              <w:pPr>
                                <w:jc w:val="center"/>
                              </w:pPr>
                            </w:p>
                            <w:p w14:paraId="3B6DA6F3" w14:textId="77777777" w:rsidR="00FC6939" w:rsidRDefault="00FC6939" w:rsidP="00AF53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1247775" y="409575"/>
                            <a:ext cx="2971800" cy="409575"/>
                          </a:xfrm>
                          <a:prstGeom prst="straightConnector1">
                            <a:avLst/>
                          </a:prstGeom>
                          <a:ln w="38100">
                            <a:tailEnd type="triangle"/>
                          </a:ln>
                          <a:scene3d>
                            <a:camera prst="orthographicFront"/>
                            <a:lightRig rig="threePt" dir="t"/>
                          </a:scene3d>
                          <a:sp3d>
                            <a:bevelT prst="relaxedInset"/>
                          </a:sp3d>
                        </wps:spPr>
                        <wps:style>
                          <a:lnRef idx="3">
                            <a:schemeClr val="dk1"/>
                          </a:lnRef>
                          <a:fillRef idx="0">
                            <a:schemeClr val="dk1"/>
                          </a:fillRef>
                          <a:effectRef idx="2">
                            <a:schemeClr val="dk1"/>
                          </a:effectRef>
                          <a:fontRef idx="minor">
                            <a:schemeClr val="tx1"/>
                          </a:fontRef>
                        </wps:style>
                        <wps:bodyPr/>
                      </wps:wsp>
                      <wps:wsp>
                        <wps:cNvPr id="22" name="Straight Arrow Connector 22"/>
                        <wps:cNvCnPr/>
                        <wps:spPr>
                          <a:xfrm flipV="1">
                            <a:off x="1295400" y="933450"/>
                            <a:ext cx="2943225" cy="590550"/>
                          </a:xfrm>
                          <a:prstGeom prst="straightConnector1">
                            <a:avLst/>
                          </a:prstGeom>
                          <a:ln w="38100">
                            <a:tailEnd type="triangle"/>
                          </a:ln>
                          <a:scene3d>
                            <a:camera prst="orthographicFront"/>
                            <a:lightRig rig="threePt" dir="t"/>
                          </a:scene3d>
                          <a:sp3d>
                            <a:bevelT prst="relaxedInset"/>
                          </a:sp3d>
                        </wps:spPr>
                        <wps:style>
                          <a:lnRef idx="3">
                            <a:schemeClr val="dk1"/>
                          </a:lnRef>
                          <a:fillRef idx="0">
                            <a:schemeClr val="dk1"/>
                          </a:fillRef>
                          <a:effectRef idx="2">
                            <a:schemeClr val="dk1"/>
                          </a:effectRef>
                          <a:fontRef idx="minor">
                            <a:schemeClr val="tx1"/>
                          </a:fontRef>
                        </wps:style>
                        <wps:bodyPr/>
                      </wps:wsp>
                      <wps:wsp>
                        <wps:cNvPr id="23" name="Down Arrow 23"/>
                        <wps:cNvSpPr/>
                        <wps:spPr>
                          <a:xfrm rot="10800000" flipH="1">
                            <a:off x="2133599" y="1171587"/>
                            <a:ext cx="1919888" cy="69754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AA831E" w14:textId="39D2B3B9" w:rsidR="00FC6939" w:rsidRDefault="00FC6939" w:rsidP="00AF53F5">
                              <w:pPr>
                                <w:jc w:val="center"/>
                              </w:pP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1485900" y="533400"/>
                            <a:ext cx="3429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6D141" w14:textId="77777777" w:rsidR="00FC6939" w:rsidRPr="00A31DAE" w:rsidRDefault="00FC6939" w:rsidP="00AF53F5">
                              <w:pPr>
                                <w:rPr>
                                  <w:b/>
                                  <w:bCs/>
                                  <w:sz w:val="28"/>
                                  <w:szCs w:val="28"/>
                                </w:rPr>
                              </w:pPr>
                              <w:r w:rsidRPr="00A31DAE">
                                <w:rPr>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514475" y="114300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6ABA4" w14:textId="77777777" w:rsidR="00FC6939" w:rsidRPr="00A31DAE" w:rsidRDefault="00FC6939" w:rsidP="00AF53F5">
                              <w:pPr>
                                <w:rPr>
                                  <w:b/>
                                  <w:bCs/>
                                  <w:sz w:val="28"/>
                                  <w:szCs w:val="28"/>
                                </w:rPr>
                              </w:pPr>
                              <w:r w:rsidRPr="00A31DAE">
                                <w:rPr>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Down Arrow 24"/>
                        <wps:cNvSpPr/>
                        <wps:spPr>
                          <a:xfrm>
                            <a:off x="2052291" y="0"/>
                            <a:ext cx="1933070" cy="630754"/>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75186D" w14:textId="205EE323" w:rsidR="00FC6939" w:rsidRDefault="00FC6939" w:rsidP="00AF53F5">
                              <w:pPr>
                                <w:jc w:val="center"/>
                              </w:pP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2284C4" id="Group 17" o:spid="_x0000_s1026" style="position:absolute;left:0;text-align:left;margin-left:401.8pt;margin-top:.15pt;width:453pt;height:191.55pt;z-index:251669504;mso-position-horizontal:right;mso-position-horizontal-relative:margin;mso-width-relative:margin;mso-height-relative:margin" coordsize="51435,189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">
                <v:roundrect id="Rounded Rectangle 18" o:spid="_x0000_s1027" style="position:absolute;top:1143;width:12382;height:704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" fillcolor="white [3201]" strokecolor="black [3213]" strokeweight="1pt">
                  <v:stroke joinstyle="miter"/>
                  <v:textbox>
                    <w:txbxContent>
                      <w:p w14:paraId="0171A8B1" w14:textId="77777777" w:rsidR="00FC6939" w:rsidRPr="009A3E98" w:rsidRDefault="00FC6939" w:rsidP="00AF53F5">
                        <w:pPr>
                          <w:jc w:val="center"/>
                          <w:rPr>
                            <w:b/>
                            <w:bCs/>
                          </w:rPr>
                        </w:pPr>
                        <w:proofErr w:type="spellStart"/>
                        <w:r w:rsidRPr="009A3E98">
                          <w:rPr>
                            <w:b/>
                            <w:bCs/>
                          </w:rPr>
                          <w:t>Biotech</w:t>
                        </w:r>
                        <w:proofErr w:type="spellEnd"/>
                        <w:r w:rsidRPr="009A3E98">
                          <w:rPr>
                            <w:b/>
                            <w:bCs/>
                          </w:rPr>
                          <w:t xml:space="preserve"> </w:t>
                        </w:r>
                        <w:proofErr w:type="spellStart"/>
                        <w:r w:rsidRPr="009A3E98">
                          <w:rPr>
                            <w:b/>
                            <w:bCs/>
                          </w:rPr>
                          <w:t>firm’s</w:t>
                        </w:r>
                        <w:proofErr w:type="spellEnd"/>
                        <w:r w:rsidRPr="009A3E98">
                          <w:rPr>
                            <w:b/>
                            <w:bCs/>
                          </w:rPr>
                          <w:t xml:space="preserve"> </w:t>
                        </w:r>
                        <w:r w:rsidRPr="009A3E98">
                          <w:rPr>
                            <w:b/>
                            <w:bCs/>
                            <w:lang w:val="en-US"/>
                          </w:rPr>
                          <w:t>Technological</w:t>
                        </w:r>
                        <w:r w:rsidRPr="009A3E98">
                          <w:rPr>
                            <w:b/>
                            <w:bCs/>
                          </w:rPr>
                          <w:t xml:space="preserve"> </w:t>
                        </w:r>
                        <w:proofErr w:type="spellStart"/>
                        <w:r w:rsidRPr="009A3E98">
                          <w:rPr>
                            <w:b/>
                            <w:bCs/>
                          </w:rPr>
                          <w:t>Depth</w:t>
                        </w:r>
                        <w:proofErr w:type="spellEnd"/>
                      </w:p>
                      <w:p w14:paraId="00613425" w14:textId="77777777" w:rsidR="00FC6939" w:rsidRPr="009A3E98" w:rsidRDefault="00FC6939" w:rsidP="00AF53F5">
                        <w:pPr>
                          <w:jc w:val="center"/>
                          <w:rPr>
                            <w:b/>
                            <w:bCs/>
                          </w:rPr>
                        </w:pPr>
                      </w:p>
                    </w:txbxContent>
                  </v:textbox>
                </v:roundrect>
                <v:roundrect id="Rounded Rectangle 19" o:spid="_x0000_s1028" style="position:absolute;left:42291;top:3999;width:9144;height:971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" fillcolor="white [3201]" strokecolor="black [3213]" strokeweight="1pt">
                  <v:stroke joinstyle="miter"/>
                  <v:textbox>
                    <w:txbxContent>
                      <w:p w14:paraId="2C1A1881" w14:textId="0C4A3EBE" w:rsidR="00FC6939" w:rsidRPr="009A3E98" w:rsidRDefault="00FC6939" w:rsidP="009A3E98">
                        <w:pPr>
                          <w:jc w:val="center"/>
                          <w:rPr>
                            <w:b/>
                            <w:bCs/>
                          </w:rPr>
                        </w:pPr>
                        <w:r w:rsidRPr="009A3E98">
                          <w:rPr>
                            <w:b/>
                            <w:bCs/>
                          </w:rPr>
                          <w:t>Financial Capital</w:t>
                        </w:r>
                        <w:r>
                          <w:rPr>
                            <w:b/>
                            <w:bCs/>
                          </w:rPr>
                          <w:br/>
                        </w:r>
                        <w:proofErr w:type="spellStart"/>
                        <w:r>
                          <w:rPr>
                            <w:b/>
                            <w:bCs/>
                          </w:rPr>
                          <w:t>provided</w:t>
                        </w:r>
                        <w:proofErr w:type="spellEnd"/>
                        <w:r>
                          <w:rPr>
                            <w:b/>
                            <w:bCs/>
                          </w:rPr>
                          <w:t xml:space="preserve"> by Pharma </w:t>
                        </w:r>
                        <w:proofErr w:type="spellStart"/>
                        <w:r>
                          <w:rPr>
                            <w:b/>
                            <w:bCs/>
                          </w:rPr>
                          <w:t>partner</w:t>
                        </w:r>
                        <w:proofErr w:type="spellEnd"/>
                        <w:r w:rsidRPr="009A3E98">
                          <w:rPr>
                            <w:b/>
                            <w:bCs/>
                          </w:rPr>
                          <w:br/>
                        </w:r>
                      </w:p>
                    </w:txbxContent>
                  </v:textbox>
                </v:roundrect>
                <v:roundrect id="Rounded Rectangle 20" o:spid="_x0000_s1029" style="position:absolute;left:381;top:11715;width:12382;height:723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" fillcolor="white [3201]" strokecolor="black [3213]" strokeweight="1pt">
                  <v:stroke joinstyle="miter"/>
                  <v:textbox>
                    <w:txbxContent>
                      <w:p w14:paraId="002AE086" w14:textId="77777777" w:rsidR="00FC6939" w:rsidRPr="009A3E98" w:rsidRDefault="00FC6939" w:rsidP="00AF53F5">
                        <w:pPr>
                          <w:jc w:val="center"/>
                          <w:rPr>
                            <w:b/>
                            <w:bCs/>
                          </w:rPr>
                        </w:pPr>
                        <w:proofErr w:type="spellStart"/>
                        <w:r w:rsidRPr="009A3E98">
                          <w:rPr>
                            <w:b/>
                            <w:bCs/>
                          </w:rPr>
                          <w:t>Biotech</w:t>
                        </w:r>
                        <w:proofErr w:type="spellEnd"/>
                        <w:r w:rsidRPr="009A3E98">
                          <w:rPr>
                            <w:b/>
                            <w:bCs/>
                          </w:rPr>
                          <w:t xml:space="preserve"> </w:t>
                        </w:r>
                        <w:proofErr w:type="spellStart"/>
                        <w:r w:rsidRPr="009A3E98">
                          <w:rPr>
                            <w:b/>
                            <w:bCs/>
                          </w:rPr>
                          <w:t>firm’s</w:t>
                        </w:r>
                        <w:proofErr w:type="spellEnd"/>
                        <w:r w:rsidRPr="009A3E98">
                          <w:rPr>
                            <w:b/>
                            <w:bCs/>
                          </w:rPr>
                          <w:t xml:space="preserve"> </w:t>
                        </w:r>
                        <w:proofErr w:type="spellStart"/>
                        <w:r w:rsidRPr="009A3E98">
                          <w:rPr>
                            <w:b/>
                            <w:bCs/>
                          </w:rPr>
                          <w:t>Technological</w:t>
                        </w:r>
                        <w:proofErr w:type="spellEnd"/>
                        <w:r w:rsidRPr="009A3E98">
                          <w:rPr>
                            <w:b/>
                            <w:bCs/>
                          </w:rPr>
                          <w:t xml:space="preserve"> </w:t>
                        </w:r>
                        <w:proofErr w:type="spellStart"/>
                        <w:r w:rsidRPr="009A3E98">
                          <w:rPr>
                            <w:b/>
                            <w:bCs/>
                          </w:rPr>
                          <w:t>Breadth</w:t>
                        </w:r>
                        <w:proofErr w:type="spellEnd"/>
                      </w:p>
                      <w:p w14:paraId="07F41F9E" w14:textId="77777777" w:rsidR="00FC6939" w:rsidRDefault="00FC6939" w:rsidP="00AF53F5">
                        <w:pPr>
                          <w:jc w:val="center"/>
                        </w:pPr>
                      </w:p>
                      <w:p w14:paraId="3B6DA6F3" w14:textId="77777777" w:rsidR="00FC6939" w:rsidRDefault="00FC6939" w:rsidP="00AF53F5">
                        <w:pPr>
                          <w:jc w:val="center"/>
                        </w:pPr>
                      </w:p>
                    </w:txbxContent>
                  </v:textbox>
                </v:roundrect>
                <v:shapetype id="_x0000_t32" coordsize="21600,21600" o:spt="32" o:oned="t" path="m,l21600,21600e" filled="f">
                  <v:path arrowok="t" fillok="f" o:connecttype="none"/>
                  <o:lock v:ext="edit" shapetype="t"/>
                </v:shapetype>
                <v:shape id="Straight Arrow Connector 21" o:spid="_x0000_s1030" type="#_x0000_t32" style="position:absolute;left:12477;top:4095;width:29718;height:409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" strokecolor="black [3200]" strokeweight="3pt">
                  <v:stroke endarrow="block" joinstyle="miter"/>
                </v:shape>
                <v:shape id="Straight Arrow Connector 22" o:spid="_x0000_s1031" type="#_x0000_t32" style="position:absolute;left:12954;top:9334;width:29432;height:590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" strokecolor="black [3200]" strokeweight="3pt">
                  <v:stroke endarrow="block" joinstyle="miter"/>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32" type="#_x0000_t67" style="position:absolute;left:21335;top:11715;width:19199;height:6976;rotation:18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" adj="10800" fillcolor="white [3201]" strokecolor="black [3213]" strokeweight="1pt">
                  <v:textbox>
                    <w:txbxContent>
                      <w:p w14:paraId="78AA831E" w14:textId="39D2B3B9" w:rsidR="00FC6939" w:rsidRDefault="00FC6939" w:rsidP="00AF53F5">
                        <w:pPr>
                          <w:jc w:val="center"/>
                        </w:pPr>
                        <w:r>
                          <w:br/>
                        </w:r>
                      </w:p>
                    </w:txbxContent>
                  </v:textbox>
                </v:shape>
                <v:shapetype id="_x0000_t202" coordsize="21600,21600" o:spt="202" path="m,l,21600r21600,l21600,xe">
                  <v:stroke joinstyle="miter"/>
                  <v:path gradientshapeok="t" o:connecttype="rect"/>
                </v:shapetype>
                <v:shape id="Text Box 25" o:spid="_x0000_s1033" type="#_x0000_t202" style="position:absolute;left:14859;top:5334;width:3429;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" fillcolor="white [3201]" stroked="f" strokeweight=".5pt">
                  <v:textbox>
                    <w:txbxContent>
                      <w:p w14:paraId="6736D141" w14:textId="77777777" w:rsidR="00FC6939" w:rsidRPr="00A31DAE" w:rsidRDefault="00FC6939" w:rsidP="00AF53F5">
                        <w:pPr>
                          <w:rPr>
                            <w:b/>
                            <w:bCs/>
                            <w:sz w:val="28"/>
                            <w:szCs w:val="28"/>
                          </w:rPr>
                        </w:pPr>
                        <w:r w:rsidRPr="00A31DAE">
                          <w:rPr>
                            <w:b/>
                            <w:bCs/>
                            <w:sz w:val="28"/>
                            <w:szCs w:val="28"/>
                          </w:rPr>
                          <w:t>+</w:t>
                        </w:r>
                      </w:p>
                    </w:txbxContent>
                  </v:textbox>
                </v:shape>
                <v:shape id="Text Box 26" o:spid="_x0000_s1034" type="#_x0000_t202" style="position:absolute;left:15144;top:11430;width:238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" fillcolor="white [3201]" stroked="f" strokeweight=".5pt">
                  <v:textbox>
                    <w:txbxContent>
                      <w:p w14:paraId="3D06ABA4" w14:textId="77777777" w:rsidR="00FC6939" w:rsidRPr="00A31DAE" w:rsidRDefault="00FC6939" w:rsidP="00AF53F5">
                        <w:pPr>
                          <w:rPr>
                            <w:b/>
                            <w:bCs/>
                            <w:sz w:val="28"/>
                            <w:szCs w:val="28"/>
                          </w:rPr>
                        </w:pPr>
                        <w:r w:rsidRPr="00A31DAE">
                          <w:rPr>
                            <w:b/>
                            <w:bCs/>
                            <w:sz w:val="28"/>
                            <w:szCs w:val="28"/>
                          </w:rPr>
                          <w:t>-</w:t>
                        </w:r>
                      </w:p>
                    </w:txbxContent>
                  </v:textbox>
                </v:shape>
                <v:shape id="Down Arrow 24" o:spid="_x0000_s1035" type="#_x0000_t67" style="position:absolute;left:20522;width:19331;height:63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" adj="10800" fillcolor="white [3201]" strokecolor="black [3213]" strokeweight="1pt">
                  <v:textbox>
                    <w:txbxContent>
                      <w:p w14:paraId="4075186D" w14:textId="205EE323" w:rsidR="00FC6939" w:rsidRDefault="00FC6939" w:rsidP="00AF53F5">
                        <w:pPr>
                          <w:jc w:val="center"/>
                        </w:pPr>
                        <w:r>
                          <w:br/>
                        </w:r>
                      </w:p>
                    </w:txbxContent>
                  </v:textbox>
                </v:shape>
                <w10:wrap anchorx="margin"/>
              </v:group>
            </w:pict>
          </mc:Fallback>
        </mc:AlternateContent>
      </w:r>
      <w:r>
        <w:rPr>
          <w:rFonts w:asciiTheme="majorHAnsi" w:hAnsiTheme="majorHAnsi" w:cstheme="majorBidi"/>
          <w:noProof/>
          <w:szCs w:val="24"/>
          <w:lang w:val="en-US" w:eastAsia="en-US"/>
        </w:rPr>
        <mc:AlternateContent>
          <mc:Choice Requires="wps">
            <w:drawing>
              <wp:anchor distT="0" distB="0" distL="114300" distR="114300" simplePos="0" relativeHeight="251673600" behindDoc="0" locked="0" layoutInCell="1" allowOverlap="1" wp14:anchorId="48BFA291" wp14:editId="2EC6B4A3">
                <wp:simplePos x="0" y="0"/>
                <wp:positionH relativeFrom="column">
                  <wp:posOffset>2857500</wp:posOffset>
                </wp:positionH>
                <wp:positionV relativeFrom="paragraph">
                  <wp:posOffset>62865</wp:posOffset>
                </wp:positionV>
                <wp:extent cx="971550" cy="537817"/>
                <wp:effectExtent l="0" t="0" r="0" b="0"/>
                <wp:wrapNone/>
                <wp:docPr id="2" name="Text Box 2"/>
                <wp:cNvGraphicFramePr/>
                <a:graphic xmlns:a="http://schemas.openxmlformats.org/drawingml/2006/main">
                  <a:graphicData uri="http://schemas.microsoft.com/office/word/2010/wordprocessingShape">
                    <wps:wsp>
                      <wps:cNvSpPr txBox="1"/>
                      <wps:spPr>
                        <a:xfrm>
                          <a:off x="0" y="0"/>
                          <a:ext cx="971550" cy="5378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45FFB" w14:textId="1EBB80AE" w:rsidR="00FC6939" w:rsidRPr="009A3E98" w:rsidRDefault="00FC6939" w:rsidP="008060BA">
                            <w:pPr>
                              <w:jc w:val="center"/>
                              <w:rPr>
                                <w:b/>
                                <w:bCs/>
                                <w:sz w:val="22"/>
                                <w:szCs w:val="22"/>
                                <w:lang w:val="es-ES"/>
                              </w:rPr>
                            </w:pPr>
                            <w:proofErr w:type="spellStart"/>
                            <w:r w:rsidRPr="009A3E98">
                              <w:rPr>
                                <w:b/>
                                <w:bCs/>
                                <w:sz w:val="22"/>
                                <w:szCs w:val="22"/>
                                <w:lang w:val="es-ES"/>
                              </w:rPr>
                              <w:t>Stage</w:t>
                            </w:r>
                            <w:proofErr w:type="spellEnd"/>
                            <w:r w:rsidRPr="009A3E98">
                              <w:rPr>
                                <w:b/>
                                <w:bCs/>
                                <w:sz w:val="22"/>
                                <w:szCs w:val="22"/>
                                <w:lang w:val="es-ES"/>
                              </w:rPr>
                              <w:t xml:space="preserve"> of </w:t>
                            </w:r>
                            <w:proofErr w:type="spellStart"/>
                            <w:r w:rsidRPr="009A3E98">
                              <w:rPr>
                                <w:b/>
                                <w:bCs/>
                                <w:sz w:val="22"/>
                                <w:szCs w:val="22"/>
                                <w:lang w:val="es-ES"/>
                              </w:rPr>
                              <w:t>Technology</w:t>
                            </w:r>
                            <w:proofErr w:type="spellEnd"/>
                            <w:r w:rsidRPr="009A3E98">
                              <w:rPr>
                                <w:b/>
                                <w:bCs/>
                                <w:sz w:val="22"/>
                                <w:szCs w:val="22"/>
                                <w:lang w:val="es-ES"/>
                              </w:rPr>
                              <w:b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FA291" id="Text Box 2" o:spid="_x0000_s1036" type="#_x0000_t202" style="position:absolute;left:0;text-align:left;margin-left:225pt;margin-top:4.95pt;width:76.5pt;height:4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" fillcolor="white [3201]" stroked="f" strokeweight=".5pt">
                <v:textbox>
                  <w:txbxContent>
                    <w:p w14:paraId="11145FFB" w14:textId="1EBB80AE" w:rsidR="00FC6939" w:rsidRPr="009A3E98" w:rsidRDefault="00FC6939" w:rsidP="008060BA">
                      <w:pPr>
                        <w:jc w:val="center"/>
                        <w:rPr>
                          <w:b/>
                          <w:bCs/>
                          <w:sz w:val="22"/>
                          <w:szCs w:val="22"/>
                          <w:lang w:val="es-ES"/>
                        </w:rPr>
                      </w:pPr>
                      <w:proofErr w:type="spellStart"/>
                      <w:r w:rsidRPr="009A3E98">
                        <w:rPr>
                          <w:b/>
                          <w:bCs/>
                          <w:sz w:val="22"/>
                          <w:szCs w:val="22"/>
                          <w:lang w:val="es-ES"/>
                        </w:rPr>
                        <w:t>Stage</w:t>
                      </w:r>
                      <w:proofErr w:type="spellEnd"/>
                      <w:r w:rsidRPr="009A3E98">
                        <w:rPr>
                          <w:b/>
                          <w:bCs/>
                          <w:sz w:val="22"/>
                          <w:szCs w:val="22"/>
                          <w:lang w:val="es-ES"/>
                        </w:rPr>
                        <w:t xml:space="preserve"> of </w:t>
                      </w:r>
                      <w:proofErr w:type="spellStart"/>
                      <w:r w:rsidRPr="009A3E98">
                        <w:rPr>
                          <w:b/>
                          <w:bCs/>
                          <w:sz w:val="22"/>
                          <w:szCs w:val="22"/>
                          <w:lang w:val="es-ES"/>
                        </w:rPr>
                        <w:t>Technology</w:t>
                      </w:r>
                      <w:proofErr w:type="spellEnd"/>
                      <w:r w:rsidRPr="009A3E98">
                        <w:rPr>
                          <w:b/>
                          <w:bCs/>
                          <w:sz w:val="22"/>
                          <w:szCs w:val="22"/>
                          <w:lang w:val="es-ES"/>
                        </w:rPr>
                        <w:br/>
                        <w:t>+</w:t>
                      </w:r>
                    </w:p>
                  </w:txbxContent>
                </v:textbox>
              </v:shape>
            </w:pict>
          </mc:Fallback>
        </mc:AlternateContent>
      </w:r>
    </w:p>
    <w:p w14:paraId="43D94B02" w14:textId="77777777" w:rsidR="00592844" w:rsidRPr="00594F2B" w:rsidRDefault="00592844" w:rsidP="00592844">
      <w:pPr>
        <w:spacing w:line="480" w:lineRule="auto"/>
        <w:ind w:firstLine="720"/>
        <w:jc w:val="both"/>
        <w:rPr>
          <w:szCs w:val="24"/>
          <w:lang w:val="en-US" w:bidi="fa-IR"/>
        </w:rPr>
      </w:pPr>
    </w:p>
    <w:p w14:paraId="021F7574" w14:textId="77777777" w:rsidR="00592844" w:rsidRPr="00594F2B" w:rsidRDefault="00592844" w:rsidP="00592844">
      <w:pPr>
        <w:spacing w:line="480" w:lineRule="auto"/>
        <w:ind w:firstLine="720"/>
        <w:jc w:val="both"/>
        <w:rPr>
          <w:szCs w:val="24"/>
          <w:lang w:val="en-US" w:bidi="fa-IR"/>
        </w:rPr>
      </w:pPr>
    </w:p>
    <w:p w14:paraId="0BE9A1EF" w14:textId="77777777" w:rsidR="00592844" w:rsidRPr="00594F2B" w:rsidRDefault="00592844" w:rsidP="00592844">
      <w:pPr>
        <w:spacing w:line="480" w:lineRule="auto"/>
        <w:ind w:firstLine="720"/>
        <w:jc w:val="both"/>
        <w:rPr>
          <w:szCs w:val="24"/>
          <w:lang w:val="en-US" w:bidi="fa-IR"/>
        </w:rPr>
      </w:pPr>
    </w:p>
    <w:p w14:paraId="52D1559C" w14:textId="74F8953C" w:rsidR="00592844" w:rsidRPr="00594F2B" w:rsidRDefault="00592844" w:rsidP="00592844">
      <w:pPr>
        <w:spacing w:line="480" w:lineRule="auto"/>
        <w:ind w:firstLine="720"/>
        <w:jc w:val="center"/>
        <w:rPr>
          <w:i/>
          <w:iCs/>
          <w:szCs w:val="24"/>
          <w:lang w:val="en-US" w:bidi="fa-IR"/>
        </w:rPr>
      </w:pPr>
    </w:p>
    <w:p w14:paraId="6D799792" w14:textId="7F820B24" w:rsidR="009B4CF1" w:rsidRPr="00594F2B" w:rsidRDefault="009A3E98" w:rsidP="00592844">
      <w:pPr>
        <w:spacing w:line="480" w:lineRule="auto"/>
        <w:ind w:firstLine="720"/>
        <w:jc w:val="center"/>
        <w:rPr>
          <w:i/>
          <w:iCs/>
          <w:szCs w:val="24"/>
          <w:lang w:val="en-US" w:bidi="fa-IR"/>
        </w:rPr>
      </w:pPr>
      <w:r>
        <w:rPr>
          <w:rFonts w:asciiTheme="majorHAnsi" w:hAnsiTheme="majorHAnsi" w:cstheme="majorBidi"/>
          <w:noProof/>
          <w:szCs w:val="24"/>
          <w:lang w:val="en-US" w:eastAsia="en-US"/>
        </w:rPr>
        <mc:AlternateContent>
          <mc:Choice Requires="wps">
            <w:drawing>
              <wp:anchor distT="0" distB="0" distL="114300" distR="114300" simplePos="0" relativeHeight="251672576" behindDoc="0" locked="0" layoutInCell="1" allowOverlap="1" wp14:anchorId="4CF874FB" wp14:editId="6536E992">
                <wp:simplePos x="0" y="0"/>
                <wp:positionH relativeFrom="column">
                  <wp:posOffset>3019425</wp:posOffset>
                </wp:positionH>
                <wp:positionV relativeFrom="paragraph">
                  <wp:posOffset>15239</wp:posOffset>
                </wp:positionV>
                <wp:extent cx="904875" cy="63674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904875" cy="636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64FFB" w14:textId="74DFA834" w:rsidR="00FC6939" w:rsidRPr="008060BA" w:rsidRDefault="00FC6939" w:rsidP="008060BA">
                            <w:pPr>
                              <w:jc w:val="center"/>
                              <w:rPr>
                                <w:lang w:val="es-ES"/>
                              </w:rPr>
                            </w:pPr>
                            <w:r>
                              <w:rPr>
                                <w:b/>
                                <w:bCs/>
                                <w:sz w:val="22"/>
                                <w:szCs w:val="22"/>
                                <w:lang w:val="es-ES"/>
                              </w:rPr>
                              <w:t>-</w:t>
                            </w:r>
                            <w:r>
                              <w:rPr>
                                <w:b/>
                                <w:bCs/>
                                <w:sz w:val="22"/>
                                <w:szCs w:val="22"/>
                                <w:lang w:val="es-ES"/>
                              </w:rPr>
                              <w:br/>
                            </w:r>
                            <w:proofErr w:type="spellStart"/>
                            <w:r w:rsidRPr="009A3E98">
                              <w:rPr>
                                <w:b/>
                                <w:bCs/>
                                <w:sz w:val="22"/>
                                <w:szCs w:val="22"/>
                                <w:lang w:val="es-ES"/>
                              </w:rPr>
                              <w:t>Stage</w:t>
                            </w:r>
                            <w:proofErr w:type="spellEnd"/>
                            <w:r w:rsidRPr="009A3E98">
                              <w:rPr>
                                <w:b/>
                                <w:bCs/>
                                <w:sz w:val="22"/>
                                <w:szCs w:val="22"/>
                                <w:lang w:val="es-ES"/>
                              </w:rPr>
                              <w:t xml:space="preserve"> of </w:t>
                            </w:r>
                            <w:proofErr w:type="spellStart"/>
                            <w:r w:rsidRPr="009A3E98">
                              <w:rPr>
                                <w:b/>
                                <w:bCs/>
                                <w:sz w:val="22"/>
                                <w:szCs w:val="22"/>
                                <w:lang w:val="es-ES"/>
                              </w:rPr>
                              <w:t>Technology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874FB" id="Text Box 3" o:spid="_x0000_s1037" type="#_x0000_t202" style="position:absolute;left:0;text-align:left;margin-left:237.75pt;margin-top:1.2pt;width:71.25pt;height:5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" fillcolor="white [3201]" stroked="f" strokeweight=".5pt">
                <v:textbox>
                  <w:txbxContent>
                    <w:p w14:paraId="1D764FFB" w14:textId="74DFA834" w:rsidR="00FC6939" w:rsidRPr="008060BA" w:rsidRDefault="00FC6939" w:rsidP="008060BA">
                      <w:pPr>
                        <w:jc w:val="center"/>
                        <w:rPr>
                          <w:lang w:val="es-ES"/>
                        </w:rPr>
                      </w:pPr>
                      <w:r>
                        <w:rPr>
                          <w:b/>
                          <w:bCs/>
                          <w:sz w:val="22"/>
                          <w:szCs w:val="22"/>
                          <w:lang w:val="es-ES"/>
                        </w:rPr>
                        <w:t>-</w:t>
                      </w:r>
                      <w:r>
                        <w:rPr>
                          <w:b/>
                          <w:bCs/>
                          <w:sz w:val="22"/>
                          <w:szCs w:val="22"/>
                          <w:lang w:val="es-ES"/>
                        </w:rPr>
                        <w:br/>
                      </w:r>
                      <w:proofErr w:type="spellStart"/>
                      <w:r w:rsidRPr="009A3E98">
                        <w:rPr>
                          <w:b/>
                          <w:bCs/>
                          <w:sz w:val="22"/>
                          <w:szCs w:val="22"/>
                          <w:lang w:val="es-ES"/>
                        </w:rPr>
                        <w:t>Stage</w:t>
                      </w:r>
                      <w:proofErr w:type="spellEnd"/>
                      <w:r w:rsidRPr="009A3E98">
                        <w:rPr>
                          <w:b/>
                          <w:bCs/>
                          <w:sz w:val="22"/>
                          <w:szCs w:val="22"/>
                          <w:lang w:val="es-ES"/>
                        </w:rPr>
                        <w:t xml:space="preserve"> of </w:t>
                      </w:r>
                      <w:proofErr w:type="spellStart"/>
                      <w:r w:rsidRPr="009A3E98">
                        <w:rPr>
                          <w:b/>
                          <w:bCs/>
                          <w:sz w:val="22"/>
                          <w:szCs w:val="22"/>
                          <w:lang w:val="es-ES"/>
                        </w:rPr>
                        <w:t>Technology</w:t>
                      </w:r>
                      <w:proofErr w:type="spellEnd"/>
                    </w:p>
                  </w:txbxContent>
                </v:textbox>
              </v:shape>
            </w:pict>
          </mc:Fallback>
        </mc:AlternateContent>
      </w:r>
    </w:p>
    <w:p w14:paraId="6CB8B75F" w14:textId="2525792E" w:rsidR="009B4CF1" w:rsidRPr="00594F2B" w:rsidRDefault="009B4CF1" w:rsidP="00592844">
      <w:pPr>
        <w:spacing w:line="480" w:lineRule="auto"/>
        <w:ind w:firstLine="720"/>
        <w:jc w:val="center"/>
        <w:rPr>
          <w:i/>
          <w:iCs/>
          <w:szCs w:val="24"/>
          <w:lang w:val="en-US" w:bidi="fa-IR"/>
        </w:rPr>
      </w:pPr>
    </w:p>
    <w:p w14:paraId="66025EA7" w14:textId="30F4AAAF" w:rsidR="0094688E" w:rsidRPr="00096B45" w:rsidRDefault="008060BA" w:rsidP="00096B45">
      <w:pPr>
        <w:spacing w:line="480" w:lineRule="auto"/>
        <w:ind w:firstLine="720"/>
        <w:jc w:val="center"/>
        <w:rPr>
          <w:lang w:val="en-US"/>
        </w:rPr>
      </w:pPr>
      <w:r>
        <w:rPr>
          <w:iCs/>
          <w:szCs w:val="24"/>
          <w:lang w:val="en-US" w:bidi="fa-IR"/>
        </w:rPr>
        <w:t xml:space="preserve">       </w:t>
      </w:r>
    </w:p>
    <w:p w14:paraId="633C5E6B" w14:textId="77777777" w:rsidR="008060BA" w:rsidRDefault="008060BA" w:rsidP="003B5830">
      <w:pPr>
        <w:spacing w:line="480" w:lineRule="auto"/>
        <w:jc w:val="both"/>
        <w:rPr>
          <w:b/>
          <w:bCs/>
          <w:szCs w:val="24"/>
          <w:lang w:val="en-US" w:bidi="fa-IR"/>
        </w:rPr>
      </w:pPr>
    </w:p>
    <w:p w14:paraId="33061C43" w14:textId="77777777" w:rsidR="00425019" w:rsidRPr="00594F2B" w:rsidRDefault="00425019" w:rsidP="003B5830">
      <w:pPr>
        <w:spacing w:line="480" w:lineRule="auto"/>
        <w:jc w:val="both"/>
        <w:rPr>
          <w:b/>
          <w:bCs/>
          <w:szCs w:val="24"/>
          <w:lang w:val="en-US" w:bidi="fa-IR"/>
        </w:rPr>
      </w:pPr>
      <w:r w:rsidRPr="00594F2B">
        <w:rPr>
          <w:b/>
          <w:bCs/>
          <w:szCs w:val="24"/>
          <w:lang w:val="en-US" w:bidi="fa-IR"/>
        </w:rPr>
        <w:t xml:space="preserve">Theoretical Background &amp; Hypotheses </w:t>
      </w:r>
    </w:p>
    <w:p w14:paraId="78C70723" w14:textId="1F8784D9" w:rsidR="00A97846" w:rsidRPr="00594F2B" w:rsidRDefault="00BA2770" w:rsidP="003B5830">
      <w:pPr>
        <w:spacing w:line="480" w:lineRule="auto"/>
        <w:jc w:val="both"/>
        <w:rPr>
          <w:szCs w:val="24"/>
          <w:lang w:val="en-US" w:bidi="fa-IR"/>
        </w:rPr>
      </w:pPr>
      <w:r w:rsidRPr="00594F2B">
        <w:rPr>
          <w:rFonts w:eastAsia="Calibri"/>
          <w:szCs w:val="24"/>
          <w:lang w:val="en-US" w:bidi="fa-IR"/>
        </w:rPr>
        <w:t>O</w:t>
      </w:r>
      <w:r w:rsidR="00A97846" w:rsidRPr="00594F2B">
        <w:rPr>
          <w:rFonts w:eastAsia="Calibri"/>
          <w:szCs w:val="24"/>
          <w:lang w:val="en-US" w:bidi="fa-IR"/>
        </w:rPr>
        <w:t xml:space="preserve">ur study adopts </w:t>
      </w:r>
      <w:r w:rsidR="00F1679A" w:rsidRPr="00594F2B">
        <w:rPr>
          <w:rFonts w:eastAsia="Calibri"/>
          <w:szCs w:val="24"/>
          <w:lang w:val="en-US" w:bidi="fa-IR"/>
        </w:rPr>
        <w:t>the</w:t>
      </w:r>
      <w:r w:rsidR="00A97846" w:rsidRPr="00594F2B">
        <w:rPr>
          <w:rFonts w:eastAsia="Calibri"/>
          <w:szCs w:val="24"/>
          <w:lang w:val="en-US" w:bidi="fa-IR"/>
        </w:rPr>
        <w:t xml:space="preserve"> K</w:t>
      </w:r>
      <w:r w:rsidR="00A97846" w:rsidRPr="00594F2B">
        <w:rPr>
          <w:szCs w:val="24"/>
          <w:lang w:val="en-US" w:bidi="fa-IR"/>
        </w:rPr>
        <w:t>nowledge-</w:t>
      </w:r>
      <w:r w:rsidR="00A97846" w:rsidRPr="00594F2B">
        <w:rPr>
          <w:rFonts w:eastAsia="Calibri"/>
          <w:szCs w:val="24"/>
          <w:lang w:val="en-US" w:bidi="fa-IR"/>
        </w:rPr>
        <w:t>B</w:t>
      </w:r>
      <w:r w:rsidR="00A97846" w:rsidRPr="00594F2B">
        <w:rPr>
          <w:szCs w:val="24"/>
          <w:lang w:val="en-US" w:bidi="fa-IR"/>
        </w:rPr>
        <w:t>ased</w:t>
      </w:r>
      <w:r w:rsidR="00A97846" w:rsidRPr="00594F2B">
        <w:rPr>
          <w:rFonts w:eastAsia="Calibri"/>
          <w:szCs w:val="24"/>
          <w:lang w:val="en-US" w:bidi="fa-IR"/>
        </w:rPr>
        <w:t xml:space="preserve"> </w:t>
      </w:r>
      <w:r w:rsidR="00A97846" w:rsidRPr="00594F2B">
        <w:rPr>
          <w:szCs w:val="24"/>
          <w:lang w:val="en-US" w:bidi="fa-IR"/>
        </w:rPr>
        <w:t>View</w:t>
      </w:r>
      <w:r w:rsidR="00A97846" w:rsidRPr="00594F2B">
        <w:rPr>
          <w:rFonts w:eastAsia="Calibri"/>
          <w:szCs w:val="24"/>
          <w:lang w:val="en-US" w:bidi="fa-IR"/>
        </w:rPr>
        <w:t xml:space="preserve"> </w:t>
      </w:r>
      <w:r w:rsidR="00A97846" w:rsidRPr="00594F2B">
        <w:rPr>
          <w:szCs w:val="24"/>
          <w:lang w:val="en-US" w:bidi="fa-IR"/>
        </w:rPr>
        <w:t>(Grant, 1996</w:t>
      </w:r>
      <w:r w:rsidRPr="00594F2B">
        <w:rPr>
          <w:szCs w:val="24"/>
          <w:lang w:val="en-US" w:bidi="fa-IR"/>
        </w:rPr>
        <w:t>) and examines</w:t>
      </w:r>
      <w:r w:rsidR="00A97846" w:rsidRPr="00594F2B">
        <w:rPr>
          <w:rFonts w:eastAsia="Calibri"/>
          <w:szCs w:val="24"/>
          <w:lang w:val="en-US" w:bidi="fa-IR"/>
        </w:rPr>
        <w:t xml:space="preserve"> </w:t>
      </w:r>
      <w:r w:rsidR="007B7C34" w:rsidRPr="00594F2B">
        <w:rPr>
          <w:rFonts w:eastAsia="Calibri"/>
          <w:szCs w:val="24"/>
          <w:lang w:val="en-US" w:bidi="fa-IR"/>
        </w:rPr>
        <w:t xml:space="preserve">the impact </w:t>
      </w:r>
      <w:r w:rsidRPr="00594F2B">
        <w:rPr>
          <w:rFonts w:eastAsia="Calibri"/>
          <w:szCs w:val="24"/>
          <w:lang w:val="en-US" w:bidi="fa-IR"/>
        </w:rPr>
        <w:t xml:space="preserve">of the </w:t>
      </w:r>
      <w:r w:rsidR="009A3E98">
        <w:rPr>
          <w:rFonts w:eastAsia="Calibri"/>
          <w:szCs w:val="24"/>
          <w:lang w:val="en-US" w:bidi="fa-IR"/>
        </w:rPr>
        <w:t>depth and breadth of</w:t>
      </w:r>
      <w:r w:rsidRPr="00594F2B">
        <w:rPr>
          <w:rFonts w:eastAsia="Calibri"/>
          <w:szCs w:val="24"/>
          <w:lang w:val="en-US" w:bidi="fa-IR"/>
        </w:rPr>
        <w:t xml:space="preserve"> a </w:t>
      </w:r>
      <w:r w:rsidR="007B7C34" w:rsidRPr="00594F2B">
        <w:rPr>
          <w:rFonts w:eastAsia="Calibri"/>
          <w:szCs w:val="24"/>
          <w:lang w:val="en-US" w:bidi="fa-IR"/>
        </w:rPr>
        <w:t xml:space="preserve">firm’s </w:t>
      </w:r>
      <w:r w:rsidR="00A97846" w:rsidRPr="00594F2B">
        <w:rPr>
          <w:rFonts w:eastAsia="Calibri"/>
          <w:szCs w:val="24"/>
          <w:lang w:val="en-US" w:bidi="fa-IR"/>
        </w:rPr>
        <w:t>technological resources on the amount of financial capital acquire</w:t>
      </w:r>
      <w:r w:rsidRPr="00594F2B">
        <w:rPr>
          <w:rFonts w:eastAsia="Calibri"/>
          <w:szCs w:val="24"/>
          <w:lang w:val="en-US" w:bidi="fa-IR"/>
        </w:rPr>
        <w:t>d</w:t>
      </w:r>
      <w:r w:rsidR="00A97846" w:rsidRPr="00594F2B">
        <w:rPr>
          <w:rFonts w:eastAsia="Calibri"/>
          <w:szCs w:val="24"/>
          <w:lang w:val="en-US" w:bidi="fa-IR"/>
        </w:rPr>
        <w:t xml:space="preserve"> from a </w:t>
      </w:r>
      <w:r w:rsidRPr="00594F2B">
        <w:rPr>
          <w:rFonts w:eastAsia="Calibri"/>
          <w:szCs w:val="24"/>
          <w:lang w:val="en-US" w:bidi="fa-IR"/>
        </w:rPr>
        <w:t xml:space="preserve">pharma </w:t>
      </w:r>
      <w:r w:rsidR="00A97846" w:rsidRPr="00594F2B">
        <w:rPr>
          <w:rFonts w:eastAsia="Calibri"/>
          <w:szCs w:val="24"/>
          <w:lang w:val="en-US" w:bidi="fa-IR"/>
        </w:rPr>
        <w:t xml:space="preserve">partner. </w:t>
      </w:r>
      <w:r w:rsidR="00A97846" w:rsidRPr="00594F2B">
        <w:rPr>
          <w:szCs w:val="24"/>
          <w:lang w:val="en-US" w:bidi="fa-IR"/>
        </w:rPr>
        <w:t>Following past research that viewed technology alliances from a knowledge-based lens</w:t>
      </w:r>
      <w:r w:rsidR="005572CC" w:rsidRPr="00594F2B">
        <w:rPr>
          <w:szCs w:val="24"/>
          <w:lang w:val="en-US" w:bidi="fa-IR"/>
        </w:rPr>
        <w:t xml:space="preserve"> (see for example, Santoro &amp; </w:t>
      </w:r>
      <w:proofErr w:type="spellStart"/>
      <w:r w:rsidR="005572CC" w:rsidRPr="00594F2B">
        <w:rPr>
          <w:szCs w:val="24"/>
          <w:lang w:val="en-US" w:bidi="fa-IR"/>
        </w:rPr>
        <w:t>Bierly</w:t>
      </w:r>
      <w:proofErr w:type="spellEnd"/>
      <w:r w:rsidR="005572CC" w:rsidRPr="00594F2B">
        <w:rPr>
          <w:szCs w:val="24"/>
          <w:lang w:val="en-US" w:bidi="fa-IR"/>
        </w:rPr>
        <w:t>, 2006)</w:t>
      </w:r>
      <w:r w:rsidR="00A97846" w:rsidRPr="00594F2B">
        <w:rPr>
          <w:szCs w:val="24"/>
          <w:lang w:val="en-US" w:bidi="fa-IR"/>
        </w:rPr>
        <w:t>, w</w:t>
      </w:r>
      <w:r w:rsidR="00A97846" w:rsidRPr="00594F2B">
        <w:rPr>
          <w:rFonts w:eastAsia="Calibri"/>
          <w:szCs w:val="24"/>
          <w:lang w:val="en-US" w:bidi="fa-IR"/>
        </w:rPr>
        <w:t>e believe that biotech firms use their knowledge-based resources to bargain for additional financial capital.</w:t>
      </w:r>
      <w:r w:rsidR="00A97846" w:rsidRPr="00594F2B">
        <w:rPr>
          <w:szCs w:val="24"/>
          <w:lang w:val="en-US" w:bidi="fa-IR"/>
        </w:rPr>
        <w:t xml:space="preserve"> </w:t>
      </w:r>
      <w:r w:rsidRPr="00594F2B">
        <w:rPr>
          <w:szCs w:val="24"/>
          <w:lang w:val="en-US" w:bidi="fa-IR"/>
        </w:rPr>
        <w:t>K</w:t>
      </w:r>
      <w:r w:rsidR="00A97846" w:rsidRPr="00594F2B">
        <w:rPr>
          <w:szCs w:val="24"/>
          <w:lang w:val="en-US" w:bidi="fa-IR"/>
        </w:rPr>
        <w:t>nowledge-</w:t>
      </w:r>
      <w:r w:rsidR="00A97846" w:rsidRPr="00594F2B">
        <w:rPr>
          <w:szCs w:val="24"/>
          <w:lang w:val="en-US" w:bidi="fa-IR"/>
        </w:rPr>
        <w:lastRenderedPageBreak/>
        <w:t xml:space="preserve">based explanations </w:t>
      </w:r>
      <w:r w:rsidR="005572CC" w:rsidRPr="00594F2B">
        <w:rPr>
          <w:szCs w:val="24"/>
          <w:lang w:val="en-US" w:bidi="fa-IR"/>
        </w:rPr>
        <w:t>for</w:t>
      </w:r>
      <w:r w:rsidR="00A97846" w:rsidRPr="00594F2B">
        <w:rPr>
          <w:szCs w:val="24"/>
          <w:lang w:val="en-US" w:bidi="fa-IR"/>
        </w:rPr>
        <w:t xml:space="preserve"> the formation of strategic alliances have their roots in resource-based approaches to alliances (Grant &amp; Baden-Fuller, 2004). Th</w:t>
      </w:r>
      <w:r w:rsidR="005572CC" w:rsidRPr="00594F2B">
        <w:rPr>
          <w:szCs w:val="24"/>
          <w:lang w:val="en-US" w:bidi="fa-IR"/>
        </w:rPr>
        <w:t>us, th</w:t>
      </w:r>
      <w:r w:rsidR="00A97846" w:rsidRPr="00594F2B">
        <w:rPr>
          <w:szCs w:val="24"/>
          <w:lang w:val="en-US" w:bidi="fa-IR"/>
        </w:rPr>
        <w:t xml:space="preserve">e large number of alliances in R&amp;D intensive sectors </w:t>
      </w:r>
      <w:r w:rsidR="005572CC" w:rsidRPr="00594F2B">
        <w:rPr>
          <w:szCs w:val="24"/>
          <w:lang w:val="en-US" w:bidi="fa-IR"/>
        </w:rPr>
        <w:t>often stress</w:t>
      </w:r>
      <w:r w:rsidR="009A3E98">
        <w:rPr>
          <w:szCs w:val="24"/>
          <w:lang w:val="en-US" w:bidi="fa-IR"/>
        </w:rPr>
        <w:t>es</w:t>
      </w:r>
      <w:r w:rsidR="005572CC" w:rsidRPr="00594F2B">
        <w:rPr>
          <w:szCs w:val="24"/>
          <w:lang w:val="en-US" w:bidi="fa-IR"/>
        </w:rPr>
        <w:t xml:space="preserve"> the importance of</w:t>
      </w:r>
      <w:r w:rsidR="00A97846" w:rsidRPr="00594F2B">
        <w:rPr>
          <w:szCs w:val="24"/>
          <w:lang w:val="en-US" w:bidi="fa-IR"/>
        </w:rPr>
        <w:t xml:space="preserve"> technology in the formation of</w:t>
      </w:r>
      <w:r w:rsidR="005572CC" w:rsidRPr="00594F2B">
        <w:rPr>
          <w:szCs w:val="24"/>
          <w:lang w:val="en-US" w:bidi="fa-IR"/>
        </w:rPr>
        <w:t xml:space="preserve"> such</w:t>
      </w:r>
      <w:r w:rsidR="00A97846" w:rsidRPr="00594F2B">
        <w:rPr>
          <w:szCs w:val="24"/>
          <w:lang w:val="en-US" w:bidi="fa-IR"/>
        </w:rPr>
        <w:t xml:space="preserve"> alliances (</w:t>
      </w:r>
      <w:proofErr w:type="spellStart"/>
      <w:r w:rsidR="00A97846" w:rsidRPr="00594F2B">
        <w:rPr>
          <w:szCs w:val="24"/>
          <w:lang w:val="en-US" w:bidi="fa-IR"/>
        </w:rPr>
        <w:t>Hagedoorn</w:t>
      </w:r>
      <w:proofErr w:type="spellEnd"/>
      <w:r w:rsidR="00A97846" w:rsidRPr="00594F2B">
        <w:rPr>
          <w:szCs w:val="24"/>
          <w:lang w:val="en-US" w:bidi="fa-IR"/>
        </w:rPr>
        <w:t>, 1993</w:t>
      </w:r>
      <w:r w:rsidR="005572CC" w:rsidRPr="00594F2B">
        <w:rPr>
          <w:szCs w:val="24"/>
          <w:lang w:val="en-US" w:bidi="fa-IR"/>
        </w:rPr>
        <w:t xml:space="preserve">; Santoro &amp; </w:t>
      </w:r>
      <w:proofErr w:type="spellStart"/>
      <w:r w:rsidR="005572CC" w:rsidRPr="00594F2B">
        <w:rPr>
          <w:szCs w:val="24"/>
          <w:lang w:val="en-US" w:bidi="fa-IR"/>
        </w:rPr>
        <w:t>Bierly</w:t>
      </w:r>
      <w:proofErr w:type="spellEnd"/>
      <w:r w:rsidR="005572CC" w:rsidRPr="00594F2B">
        <w:rPr>
          <w:szCs w:val="24"/>
          <w:lang w:val="en-US" w:bidi="fa-IR"/>
        </w:rPr>
        <w:t>, 2006</w:t>
      </w:r>
      <w:r w:rsidR="00A97846" w:rsidRPr="00594F2B">
        <w:rPr>
          <w:szCs w:val="24"/>
          <w:lang w:val="en-US" w:bidi="fa-IR"/>
        </w:rPr>
        <w:t>).</w:t>
      </w:r>
    </w:p>
    <w:p w14:paraId="0C76F98E" w14:textId="2597160B" w:rsidR="00425019" w:rsidRPr="00594F2B" w:rsidRDefault="00425019" w:rsidP="00425019">
      <w:pPr>
        <w:spacing w:line="480" w:lineRule="auto"/>
        <w:jc w:val="both"/>
        <w:rPr>
          <w:rFonts w:eastAsia="Calibri" w:cs="Arial"/>
          <w:b/>
          <w:bCs/>
          <w:i/>
          <w:iCs/>
          <w:szCs w:val="24"/>
          <w:lang w:val="en-US" w:bidi="fa-IR"/>
        </w:rPr>
      </w:pPr>
      <w:r w:rsidRPr="00594F2B">
        <w:rPr>
          <w:rFonts w:eastAsia="Calibri" w:cs="Arial"/>
          <w:b/>
          <w:bCs/>
          <w:i/>
          <w:iCs/>
          <w:szCs w:val="24"/>
          <w:lang w:val="en-US" w:bidi="fa-IR"/>
        </w:rPr>
        <w:t>Technological Depth and Financial Capital</w:t>
      </w:r>
    </w:p>
    <w:p w14:paraId="2429B1BF" w14:textId="1147B14C" w:rsidR="00057CC6" w:rsidRPr="00594F2B" w:rsidRDefault="00057CC6" w:rsidP="00271220">
      <w:pPr>
        <w:spacing w:after="160" w:line="480" w:lineRule="auto"/>
        <w:jc w:val="both"/>
        <w:rPr>
          <w:rFonts w:eastAsia="Calibri" w:cs="Arial"/>
          <w:szCs w:val="24"/>
          <w:lang w:val="en-US" w:eastAsia="en-US" w:bidi="fa-IR"/>
        </w:rPr>
      </w:pPr>
      <w:r w:rsidRPr="00594F2B">
        <w:rPr>
          <w:rFonts w:eastAsia="Calibri" w:cs="Arial"/>
          <w:szCs w:val="24"/>
          <w:lang w:val="en-US" w:eastAsia="en-US" w:bidi="fa-IR"/>
        </w:rPr>
        <w:t>With limited resources, it is usually best to focus on specific domains of knowledge (</w:t>
      </w:r>
      <w:r w:rsidR="00455CCD" w:rsidRPr="00594F2B">
        <w:rPr>
          <w:rFonts w:eastAsia="Calibri" w:cs="Arial"/>
          <w:szCs w:val="24"/>
          <w:lang w:val="en-US" w:eastAsia="en-US" w:bidi="fa-IR"/>
        </w:rPr>
        <w:t xml:space="preserve">for example, in order to create </w:t>
      </w:r>
      <w:r w:rsidRPr="00594F2B">
        <w:rPr>
          <w:rFonts w:eastAsia="Calibri" w:cs="Arial"/>
          <w:szCs w:val="24"/>
          <w:lang w:val="en-US" w:eastAsia="en-US" w:bidi="fa-IR"/>
        </w:rPr>
        <w:t>core competencies) so that you can become leaders in those areas (</w:t>
      </w:r>
      <w:proofErr w:type="spellStart"/>
      <w:r w:rsidRPr="00594F2B">
        <w:rPr>
          <w:rFonts w:eastAsia="Calibri" w:cs="Arial"/>
          <w:szCs w:val="24"/>
          <w:lang w:val="en-US" w:eastAsia="en-US" w:bidi="fa-IR"/>
        </w:rPr>
        <w:t>Bierly</w:t>
      </w:r>
      <w:proofErr w:type="spellEnd"/>
      <w:r w:rsidRPr="00594F2B">
        <w:rPr>
          <w:rFonts w:eastAsia="Calibri" w:cs="Arial"/>
          <w:szCs w:val="24"/>
          <w:lang w:val="en-US" w:eastAsia="en-US" w:bidi="fa-IR"/>
        </w:rPr>
        <w:t xml:space="preserve"> and Chakrabarti, 1996).  Hamel, and Prahalad (1994) </w:t>
      </w:r>
      <w:r w:rsidR="00BA2770" w:rsidRPr="00594F2B">
        <w:rPr>
          <w:rFonts w:eastAsia="Calibri" w:cs="Arial"/>
          <w:szCs w:val="24"/>
          <w:lang w:val="en-US" w:eastAsia="en-US" w:bidi="fa-IR"/>
        </w:rPr>
        <w:t xml:space="preserve">have </w:t>
      </w:r>
      <w:r w:rsidRPr="00594F2B">
        <w:rPr>
          <w:rFonts w:eastAsia="Calibri" w:cs="Arial"/>
          <w:szCs w:val="24"/>
          <w:lang w:val="en-US" w:eastAsia="en-US" w:bidi="fa-IR"/>
        </w:rPr>
        <w:t xml:space="preserve">demonstrated the strategic importance of developing core products and a deep knowledge base in few critical areas. Many of the biopharma alliances are based on very specific therapeutic areas </w:t>
      </w:r>
      <w:r w:rsidR="00BA2770" w:rsidRPr="00594F2B">
        <w:rPr>
          <w:rFonts w:eastAsia="Calibri" w:cs="Arial"/>
          <w:szCs w:val="24"/>
          <w:lang w:val="en-US" w:eastAsia="en-US" w:bidi="fa-IR"/>
        </w:rPr>
        <w:t xml:space="preserve">where </w:t>
      </w:r>
      <w:r w:rsidRPr="00594F2B">
        <w:rPr>
          <w:rFonts w:eastAsia="Calibri" w:cs="Arial"/>
          <w:szCs w:val="24"/>
          <w:lang w:val="en-US" w:eastAsia="en-US" w:bidi="fa-IR"/>
        </w:rPr>
        <w:t xml:space="preserve">the pharma partner seeks access to a specific technology, drug target or group of potential drugs (Dunne, Gopalakrishnan, and </w:t>
      </w:r>
      <w:proofErr w:type="spellStart"/>
      <w:r w:rsidRPr="00594F2B">
        <w:rPr>
          <w:rFonts w:eastAsia="Calibri" w:cs="Arial"/>
          <w:szCs w:val="24"/>
          <w:lang w:val="en-US" w:eastAsia="en-US" w:bidi="fa-IR"/>
        </w:rPr>
        <w:t>Scillitoe</w:t>
      </w:r>
      <w:proofErr w:type="spellEnd"/>
      <w:r w:rsidRPr="00594F2B">
        <w:rPr>
          <w:rFonts w:eastAsia="Calibri" w:cs="Arial"/>
          <w:szCs w:val="24"/>
          <w:lang w:val="en-US" w:eastAsia="en-US" w:bidi="fa-IR"/>
        </w:rPr>
        <w:t xml:space="preserve">, 2009). </w:t>
      </w:r>
      <w:r w:rsidR="003E6238">
        <w:rPr>
          <w:rFonts w:eastAsia="Calibri" w:cs="Arial"/>
          <w:szCs w:val="24"/>
          <w:lang w:val="en-US" w:eastAsia="en-US" w:bidi="fa-IR"/>
        </w:rPr>
        <w:t>Moreover, p</w:t>
      </w:r>
      <w:r w:rsidR="00271220" w:rsidRPr="00594F2B">
        <w:rPr>
          <w:rFonts w:eastAsia="Calibri" w:cs="Arial"/>
          <w:szCs w:val="24"/>
          <w:lang w:val="en-US" w:eastAsia="en-US" w:bidi="fa-IR"/>
        </w:rPr>
        <w:t>harma firms dealing with technological</w:t>
      </w:r>
      <w:r w:rsidR="00A86CF3" w:rsidRPr="00594F2B">
        <w:rPr>
          <w:rFonts w:eastAsia="Calibri" w:cs="Arial"/>
          <w:szCs w:val="24"/>
          <w:lang w:val="en-US" w:eastAsia="en-US" w:bidi="fa-IR"/>
        </w:rPr>
        <w:t>l</w:t>
      </w:r>
      <w:r w:rsidR="00271220" w:rsidRPr="00594F2B">
        <w:rPr>
          <w:rFonts w:eastAsia="Calibri" w:cs="Arial"/>
          <w:szCs w:val="24"/>
          <w:lang w:val="en-US" w:eastAsia="en-US" w:bidi="fa-IR"/>
        </w:rPr>
        <w:t>y-deep biotech firms</w:t>
      </w:r>
      <w:r w:rsidR="00093123" w:rsidRPr="00594F2B">
        <w:rPr>
          <w:rFonts w:eastAsia="Calibri" w:cs="Arial"/>
          <w:szCs w:val="24"/>
          <w:lang w:val="en-US" w:eastAsia="en-US" w:bidi="fa-IR"/>
        </w:rPr>
        <w:t xml:space="preserve"> are somewhat</w:t>
      </w:r>
      <w:r w:rsidR="00271220" w:rsidRPr="00594F2B">
        <w:rPr>
          <w:rFonts w:eastAsia="Calibri" w:cs="Arial"/>
          <w:szCs w:val="24"/>
          <w:lang w:val="en-US" w:eastAsia="en-US" w:bidi="fa-IR"/>
        </w:rPr>
        <w:t xml:space="preserve"> less disadvantaged </w:t>
      </w:r>
      <w:r w:rsidR="00093123" w:rsidRPr="00594F2B">
        <w:rPr>
          <w:rFonts w:eastAsia="Calibri" w:cs="Arial"/>
          <w:szCs w:val="24"/>
          <w:lang w:val="en-US" w:eastAsia="en-US" w:bidi="fa-IR"/>
        </w:rPr>
        <w:t>with respect to</w:t>
      </w:r>
      <w:r w:rsidR="00271220" w:rsidRPr="00594F2B">
        <w:rPr>
          <w:rFonts w:eastAsia="Calibri" w:cs="Arial"/>
          <w:szCs w:val="24"/>
          <w:lang w:val="en-US" w:eastAsia="en-US" w:bidi="fa-IR"/>
        </w:rPr>
        <w:t xml:space="preserve"> information asymmetry </w:t>
      </w:r>
      <w:r w:rsidR="00093123" w:rsidRPr="00594F2B">
        <w:rPr>
          <w:rFonts w:eastAsia="Calibri" w:cs="Arial"/>
          <w:szCs w:val="24"/>
          <w:lang w:val="en-US" w:eastAsia="en-US" w:bidi="fa-IR"/>
        </w:rPr>
        <w:t>regarding</w:t>
      </w:r>
      <w:r w:rsidR="00271220" w:rsidRPr="00594F2B">
        <w:rPr>
          <w:rFonts w:eastAsia="Calibri" w:cs="Arial"/>
          <w:szCs w:val="24"/>
          <w:lang w:val="en-US" w:eastAsia="en-US" w:bidi="fa-IR"/>
        </w:rPr>
        <w:t xml:space="preserve"> the technology, because the biotech firm </w:t>
      </w:r>
      <w:r w:rsidR="00093123" w:rsidRPr="00594F2B">
        <w:rPr>
          <w:rFonts w:eastAsia="Calibri" w:cs="Arial"/>
          <w:szCs w:val="24"/>
          <w:lang w:val="en-US" w:eastAsia="en-US" w:bidi="fa-IR"/>
        </w:rPr>
        <w:t>often has</w:t>
      </w:r>
      <w:r w:rsidR="00271220" w:rsidRPr="00594F2B">
        <w:rPr>
          <w:rFonts w:eastAsia="Calibri" w:cs="Arial"/>
          <w:szCs w:val="24"/>
          <w:lang w:val="en-US" w:eastAsia="en-US" w:bidi="fa-IR"/>
        </w:rPr>
        <w:t xml:space="preserve"> to pursue the technological path in which it is focused</w:t>
      </w:r>
      <w:r w:rsidR="00093123" w:rsidRPr="00594F2B">
        <w:rPr>
          <w:rFonts w:eastAsia="Calibri" w:cs="Arial"/>
          <w:szCs w:val="24"/>
          <w:lang w:val="en-US" w:eastAsia="en-US" w:bidi="fa-IR"/>
        </w:rPr>
        <w:t xml:space="preserve"> with little room for tangential extensions due to their limited financial resources (Gopalakrishnan, </w:t>
      </w:r>
      <w:proofErr w:type="spellStart"/>
      <w:r w:rsidR="00093123" w:rsidRPr="00594F2B">
        <w:rPr>
          <w:rFonts w:eastAsia="Calibri" w:cs="Arial"/>
          <w:szCs w:val="24"/>
          <w:lang w:val="en-US" w:eastAsia="en-US" w:bidi="fa-IR"/>
        </w:rPr>
        <w:t>Scillitoe</w:t>
      </w:r>
      <w:proofErr w:type="spellEnd"/>
      <w:r w:rsidR="00093123" w:rsidRPr="00594F2B">
        <w:rPr>
          <w:rFonts w:eastAsia="Calibri" w:cs="Arial"/>
          <w:szCs w:val="24"/>
          <w:lang w:val="en-US" w:eastAsia="en-US" w:bidi="fa-IR"/>
        </w:rPr>
        <w:t>, &amp; Santoro, 2008)</w:t>
      </w:r>
      <w:r w:rsidR="00271220" w:rsidRPr="00594F2B">
        <w:rPr>
          <w:rFonts w:eastAsia="Calibri" w:cs="Arial"/>
          <w:szCs w:val="24"/>
          <w:lang w:val="en-US" w:eastAsia="en-US" w:bidi="fa-IR"/>
        </w:rPr>
        <w:t>. Therefore, w</w:t>
      </w:r>
      <w:r w:rsidRPr="00594F2B">
        <w:rPr>
          <w:rFonts w:eastAsia="Calibri" w:cs="Arial"/>
          <w:szCs w:val="24"/>
          <w:lang w:val="en-US" w:eastAsia="en-US" w:bidi="fa-IR"/>
        </w:rPr>
        <w:t xml:space="preserve">e can expect that biotech firms with deeper technological resources would seem more appealing to a potential pharma partner, as being technologically deep is </w:t>
      </w:r>
      <w:r w:rsidR="0080336E" w:rsidRPr="00594F2B">
        <w:rPr>
          <w:rFonts w:eastAsia="Calibri" w:cs="Arial"/>
          <w:szCs w:val="24"/>
          <w:lang w:val="en-US" w:eastAsia="en-US" w:bidi="fa-IR"/>
        </w:rPr>
        <w:t xml:space="preserve">often </w:t>
      </w:r>
      <w:r w:rsidRPr="00594F2B">
        <w:rPr>
          <w:rFonts w:eastAsia="Calibri" w:cs="Arial"/>
          <w:szCs w:val="24"/>
          <w:lang w:val="en-US" w:eastAsia="en-US" w:bidi="fa-IR"/>
        </w:rPr>
        <w:t xml:space="preserve">a sign of focusing limited resources on specific domains of excellence. </w:t>
      </w:r>
    </w:p>
    <w:p w14:paraId="6E94BC1C" w14:textId="789957C1" w:rsidR="00057CC6" w:rsidRPr="00594F2B" w:rsidRDefault="00057CC6" w:rsidP="009A3E98">
      <w:pPr>
        <w:spacing w:after="160" w:line="480" w:lineRule="auto"/>
        <w:jc w:val="both"/>
        <w:rPr>
          <w:rFonts w:eastAsia="Calibri" w:cs="Arial"/>
          <w:szCs w:val="24"/>
          <w:lang w:val="en-US" w:eastAsia="en-US" w:bidi="fa-IR"/>
        </w:rPr>
      </w:pPr>
      <w:r w:rsidRPr="00594F2B">
        <w:rPr>
          <w:rFonts w:eastAsia="Calibri" w:cs="Arial"/>
          <w:szCs w:val="24"/>
          <w:lang w:val="en-US" w:eastAsia="en-US" w:bidi="fa-IR"/>
        </w:rPr>
        <w:t xml:space="preserve">Established pharmaceutical firms typically have a broad knowledge base and are not specialized on a particular set of technology and products (Zhang, Baden-Fuller and </w:t>
      </w:r>
      <w:proofErr w:type="spellStart"/>
      <w:r w:rsidRPr="00594F2B">
        <w:rPr>
          <w:rFonts w:eastAsia="Calibri" w:cs="Arial"/>
          <w:szCs w:val="24"/>
          <w:lang w:val="en-US" w:eastAsia="en-US" w:bidi="fa-IR"/>
        </w:rPr>
        <w:t>Mangematin</w:t>
      </w:r>
      <w:proofErr w:type="spellEnd"/>
      <w:r w:rsidRPr="00594F2B">
        <w:rPr>
          <w:rFonts w:eastAsia="Calibri" w:cs="Arial"/>
          <w:szCs w:val="24"/>
          <w:lang w:val="en-US" w:eastAsia="en-US" w:bidi="fa-IR"/>
        </w:rPr>
        <w:t xml:space="preserve">, 2007). This can lead them to </w:t>
      </w:r>
      <w:r w:rsidR="009A3E98">
        <w:rPr>
          <w:rFonts w:eastAsia="Calibri" w:cs="Arial"/>
          <w:szCs w:val="24"/>
          <w:lang w:val="en-US" w:eastAsia="en-US" w:bidi="fa-IR"/>
        </w:rPr>
        <w:t>find</w:t>
      </w:r>
      <w:r w:rsidRPr="00594F2B">
        <w:rPr>
          <w:rFonts w:eastAsia="Calibri" w:cs="Arial"/>
          <w:szCs w:val="24"/>
          <w:lang w:val="en-US" w:eastAsia="en-US" w:bidi="fa-IR"/>
        </w:rPr>
        <w:t xml:space="preserve"> the specialized knowledge of their biotech partner as valuable. Specialized knowledge from a technologically deep biotech firm is particularly sought after, giving </w:t>
      </w:r>
      <w:r w:rsidR="005455F8" w:rsidRPr="00594F2B">
        <w:rPr>
          <w:rFonts w:eastAsia="Calibri" w:cs="Arial"/>
          <w:szCs w:val="24"/>
          <w:lang w:val="en-US" w:eastAsia="en-US" w:bidi="fa-IR"/>
        </w:rPr>
        <w:t xml:space="preserve">those </w:t>
      </w:r>
      <w:r w:rsidRPr="00594F2B">
        <w:rPr>
          <w:rFonts w:eastAsia="Calibri" w:cs="Arial"/>
          <w:szCs w:val="24"/>
          <w:lang w:val="en-US" w:eastAsia="en-US" w:bidi="fa-IR"/>
        </w:rPr>
        <w:t>firm</w:t>
      </w:r>
      <w:r w:rsidR="005455F8" w:rsidRPr="00594F2B">
        <w:rPr>
          <w:rFonts w:eastAsia="Calibri" w:cs="Arial"/>
          <w:szCs w:val="24"/>
          <w:lang w:val="en-US" w:eastAsia="en-US" w:bidi="fa-IR"/>
        </w:rPr>
        <w:t>s</w:t>
      </w:r>
      <w:r w:rsidRPr="00594F2B">
        <w:rPr>
          <w:rFonts w:eastAsia="Calibri" w:cs="Arial"/>
          <w:szCs w:val="24"/>
          <w:lang w:val="en-US" w:eastAsia="en-US" w:bidi="fa-IR"/>
        </w:rPr>
        <w:t xml:space="preserve"> more power to bargain for additional financial ca</w:t>
      </w:r>
      <w:r w:rsidR="00960805" w:rsidRPr="00594F2B">
        <w:rPr>
          <w:rFonts w:eastAsia="Calibri" w:cs="Arial"/>
          <w:szCs w:val="24"/>
          <w:lang w:val="en-US" w:eastAsia="en-US" w:bidi="fa-IR"/>
        </w:rPr>
        <w:t>pital from the pharma partner</w:t>
      </w:r>
      <w:r w:rsidR="0080336E" w:rsidRPr="00594F2B">
        <w:rPr>
          <w:rFonts w:eastAsia="Calibri" w:cs="Arial"/>
          <w:szCs w:val="24"/>
          <w:lang w:val="en-US" w:eastAsia="en-US" w:bidi="fa-IR"/>
        </w:rPr>
        <w:t xml:space="preserve">.  Following these </w:t>
      </w:r>
      <w:r w:rsidR="009C0205" w:rsidRPr="00594F2B">
        <w:rPr>
          <w:rFonts w:eastAsia="Calibri" w:cs="Arial"/>
          <w:szCs w:val="24"/>
          <w:lang w:val="en-US" w:eastAsia="en-US" w:bidi="fa-IR"/>
        </w:rPr>
        <w:t>notions,</w:t>
      </w:r>
      <w:r w:rsidR="0080336E" w:rsidRPr="00594F2B">
        <w:rPr>
          <w:rFonts w:eastAsia="Calibri" w:cs="Arial"/>
          <w:szCs w:val="24"/>
          <w:lang w:val="en-US" w:eastAsia="en-US" w:bidi="fa-IR"/>
        </w:rPr>
        <w:t xml:space="preserve"> we propose</w:t>
      </w:r>
      <w:r w:rsidR="00960805" w:rsidRPr="00594F2B">
        <w:rPr>
          <w:rFonts w:eastAsia="Calibri" w:cs="Arial"/>
          <w:szCs w:val="24"/>
          <w:lang w:val="en-US" w:eastAsia="en-US" w:bidi="fa-IR"/>
        </w:rPr>
        <w:t>:</w:t>
      </w:r>
    </w:p>
    <w:p w14:paraId="5B016233" w14:textId="77777777" w:rsidR="00057CC6" w:rsidRPr="00594F2B" w:rsidRDefault="00057CC6" w:rsidP="00057CC6">
      <w:pPr>
        <w:spacing w:after="160" w:line="480" w:lineRule="auto"/>
        <w:ind w:left="720"/>
        <w:jc w:val="both"/>
        <w:rPr>
          <w:rFonts w:eastAsia="Calibri" w:cs="Arial"/>
          <w:i/>
          <w:iCs/>
          <w:szCs w:val="24"/>
          <w:lang w:val="en-US" w:eastAsia="en-US" w:bidi="fa-IR"/>
        </w:rPr>
      </w:pPr>
      <w:r w:rsidRPr="00594F2B">
        <w:rPr>
          <w:rFonts w:eastAsia="Calibri" w:cs="Arial"/>
          <w:b/>
          <w:bCs/>
          <w:i/>
          <w:iCs/>
          <w:szCs w:val="24"/>
          <w:lang w:val="en-US" w:eastAsia="en-US" w:bidi="fa-IR"/>
        </w:rPr>
        <w:lastRenderedPageBreak/>
        <w:t xml:space="preserve">Hypothesis 1: </w:t>
      </w:r>
      <w:r w:rsidRPr="00594F2B">
        <w:rPr>
          <w:rFonts w:eastAsia="Calibri" w:cs="Arial"/>
          <w:i/>
          <w:iCs/>
          <w:szCs w:val="24"/>
          <w:lang w:val="en-US" w:eastAsia="en-US" w:bidi="fa-IR"/>
        </w:rPr>
        <w:t xml:space="preserve">The amount of financial capital a biotech firm receives in an alliance with a larger pharma partner is positively related to the depth of its technological resources. </w:t>
      </w:r>
    </w:p>
    <w:p w14:paraId="4B508471" w14:textId="7A9D6CCA" w:rsidR="00425019" w:rsidRPr="00594F2B" w:rsidRDefault="00425019" w:rsidP="00425019">
      <w:pPr>
        <w:spacing w:line="480" w:lineRule="auto"/>
        <w:jc w:val="both"/>
        <w:rPr>
          <w:rFonts w:eastAsia="Calibri" w:cs="Arial"/>
          <w:b/>
          <w:bCs/>
          <w:i/>
          <w:iCs/>
          <w:szCs w:val="24"/>
          <w:lang w:val="en-US" w:bidi="fa-IR"/>
        </w:rPr>
      </w:pPr>
      <w:r w:rsidRPr="00594F2B">
        <w:rPr>
          <w:rFonts w:eastAsia="Calibri" w:cs="Arial"/>
          <w:b/>
          <w:bCs/>
          <w:i/>
          <w:iCs/>
          <w:szCs w:val="24"/>
          <w:lang w:val="en-US" w:bidi="fa-IR"/>
        </w:rPr>
        <w:t>Technological Breadth and Financial Capital</w:t>
      </w:r>
    </w:p>
    <w:p w14:paraId="777EC14A" w14:textId="41E18F8A" w:rsidR="00EF06BB" w:rsidRPr="00594F2B" w:rsidRDefault="004624B7" w:rsidP="009A3E98">
      <w:pPr>
        <w:spacing w:line="480" w:lineRule="auto"/>
        <w:jc w:val="both"/>
        <w:rPr>
          <w:rFonts w:eastAsia="Calibri" w:cs="Arial"/>
          <w:b/>
          <w:bCs/>
          <w:szCs w:val="24"/>
          <w:lang w:val="en-US" w:bidi="fa-IR"/>
        </w:rPr>
      </w:pPr>
      <w:r w:rsidRPr="00594F2B">
        <w:rPr>
          <w:rFonts w:eastAsia="Calibri" w:cs="Arial"/>
          <w:szCs w:val="24"/>
          <w:lang w:val="en-US" w:eastAsia="en-US" w:bidi="fa-IR"/>
        </w:rPr>
        <w:t xml:space="preserve">Firms with limited resources cannot simultaneously expand the depth and the scope of their knowledge (i.e., increase investment in knowledge-based resources while also increasing the diversity of the firm’s technology areas).  With a broad knowledge base, the firm is in a better position to combine related technologies in a more complex manner, and is more flexible and adaptable in response to changing environment </w:t>
      </w:r>
      <w:r w:rsidR="002503E6" w:rsidRPr="00594F2B">
        <w:rPr>
          <w:rFonts w:eastAsia="Calibri" w:cs="Arial"/>
          <w:szCs w:val="24"/>
          <w:lang w:val="en-US" w:eastAsia="en-US" w:bidi="fa-IR"/>
        </w:rPr>
        <w:fldChar w:fldCharType="begin" w:fldLock="1"/>
      </w:r>
      <w:r w:rsidR="00207DE0">
        <w:rPr>
          <w:rFonts w:eastAsia="Calibri" w:cs="Arial"/>
          <w:szCs w:val="24"/>
          <w:lang w:val="en-US" w:eastAsia="en-US" w:bidi="fa-IR"/>
        </w:rPr>
        <w:instrText>ADDIN CSL_CITATION { "citationItems" : [ { "id" : "ITEM-1", "itemData" : { "DOI" : "10.1002/smj.2294", "ISSN" : "01432095", "author" : [ { "dropping-particle" : "", "family" : "Kaplan", "given" : "Sarah", "non-dropping-particle" : "", "parse-names" : false, "suffix" : "" }, { "dropping-particle" : "", "family" : "Vakili", "given" : "Keyvan", "non-dropping-particle" : "", "parse-names" : false, "suffix" : "" } ], "container-title" : "Strategic Management Journal", "id" : "ITEM-1", "issue" : "10", "issued" : { "date-parts" : [ [ "2015", "10" ] ] }, "page" : "1435-1457", "title" : "The double-edged sword of recombination in breakthrough innovation", "type" : "article-journal", "volume" : "36" }, "uris" : [ "http://www.mendeley.com/documents/?uuid=3c35c18e-9e8d-3a64-879a-a39b0ae5d82e" ] }, { "id" : "ITEM-2", "itemData" : { "DOI" : "10.1002/smj.4250171111", "ISBN" : "8-9", "ISSN" : "01432095", "PMID" : "12493199", "abstract" : "The purpose of this study is to identify groups of firms with similacr generic knowledge strategies, determine how these straitegies change over time, and compare profit mnargins of the groups. Knowledge strategies of 21 U.S. pharmaceutical firms are analyzed from 1977 to 1991. Cluster analysis is used to group firms over different tine periods based on: (a) balance between internal and external learning, (b) preference for radical or incremental learning, (c) learning speed, and (d) breadth of knowledge base. Our findings inzdicate that there are four generic knowledge strategy groups: 'Explorers', 'Exploiters', 'Loners', and 'Innovators'. Most firms remnain in the same knowledge group over time. The firms in the 'Innovator' and 'Explorer' groups tend to be more profitable thacn the firms in the 'Exploiter' acnd 'Loner' groups. The knowledge-based view of the firm identifies the primary rationale for the firm as the creation and application of knowledge (Demsetz, 1991; Nonaka, 1994; Spender, 1994; Grant, 1996). Per-formance differences between firms are a result of their different knowledge bases and differing capabilities in developing and deploying knowl-edge. The management of knowledge can be con-sidered the preeminent dynamic capability of the firm and the principal driver of all other com-petencies and capabilities (Lei, Hitt, and Bettis, 1996). Most of the research in this area has investi-gated the properties of different types of knowl-edge, in particular the distinction between tacit and explicit knowledge, and the relationship between individual and social knowledge (Nonaka, 1994; Spender, 1994). These differences have critical strategic implications not only for innovation but also for barriers to imitation and", "author" : [ { "dropping-particle" : "", "family" : "Bierly", "given" : "Paul", "non-dropping-particle" : "", "parse-names" : false, "suffix" : "" }, { "dropping-particle" : "", "family" : "Chakrabarti", "given" : "Alok", "non-dropping-particle" : "", "parse-names" : false, "suffix" : "" } ], "container-title" : "Strategic Management Journal", "id" : "ITEM-2", "issue" : "S2", "issued" : { "date-parts" : [ [ "1996" ] ] }, "page" : "123-135", "title" : "Generic knowledge strategies in the U.S. pharmaceutical industry", "type" : "article-journal", "volume" : "17" }, "uris" : [ "http://www.mendeley.com/documents/?uuid=de913ab2-b1d2-4390-add0-d92ecf639a9d", "http://www.mendeley.com/documents/?uuid=b5c7a200-5da0-41a3-969d-5e3d6a3dec60" ] } ], "mendeley" : { "formattedCitation" : "(Bierly &amp; Chakrabarti, 1996; Kaplan &amp; Vakili, 2015)", "plainTextFormattedCitation" : "(Bierly &amp; Chakrabarti, 1996; Kaplan &amp; Vakili, 2015)", "previouslyFormattedCitation" : "(Bierly &amp; Chakrabarti, 1996; Kaplan &amp; Vakili, 2015)" }, "properties" : {  }, "schema" : "https://github.com/citation-style-language/schema/raw/master/csl-citation.json" }</w:instrText>
      </w:r>
      <w:r w:rsidR="002503E6" w:rsidRPr="00594F2B">
        <w:rPr>
          <w:rFonts w:eastAsia="Calibri" w:cs="Arial"/>
          <w:szCs w:val="24"/>
          <w:lang w:val="en-US" w:eastAsia="en-US" w:bidi="fa-IR"/>
        </w:rPr>
        <w:fldChar w:fldCharType="separate"/>
      </w:r>
      <w:r w:rsidR="00207DE0" w:rsidRPr="00207DE0">
        <w:rPr>
          <w:rFonts w:eastAsia="Calibri" w:cs="Arial"/>
          <w:noProof/>
          <w:szCs w:val="24"/>
          <w:lang w:val="en-US" w:eastAsia="en-US" w:bidi="fa-IR"/>
        </w:rPr>
        <w:t>(Bierly &amp; Chakrabarti, 1996; Kaplan &amp; Vakili, 2015)</w:t>
      </w:r>
      <w:r w:rsidR="002503E6" w:rsidRPr="00594F2B">
        <w:rPr>
          <w:rFonts w:eastAsia="Calibri" w:cs="Arial"/>
          <w:szCs w:val="24"/>
          <w:lang w:val="en-US" w:eastAsia="en-US" w:bidi="fa-IR"/>
        </w:rPr>
        <w:fldChar w:fldCharType="end"/>
      </w:r>
      <w:r w:rsidRPr="00594F2B">
        <w:rPr>
          <w:rFonts w:eastAsia="Calibri" w:cs="Arial"/>
          <w:szCs w:val="24"/>
          <w:lang w:val="en-US" w:eastAsia="en-US" w:bidi="fa-IR"/>
        </w:rPr>
        <w:t xml:space="preserve">. </w:t>
      </w:r>
      <w:r w:rsidR="00EF06BB" w:rsidRPr="00594F2B">
        <w:rPr>
          <w:rFonts w:eastAsia="Calibri"/>
          <w:szCs w:val="24"/>
          <w:lang w:val="en-US" w:eastAsia="en-US" w:bidi="fa-IR"/>
        </w:rPr>
        <w:t xml:space="preserve">Broad internal technological capabilities can </w:t>
      </w:r>
      <w:r w:rsidR="00010BDE" w:rsidRPr="00594F2B">
        <w:rPr>
          <w:rFonts w:eastAsia="Calibri"/>
          <w:szCs w:val="24"/>
          <w:lang w:val="en-US" w:eastAsia="en-US" w:bidi="fa-IR"/>
        </w:rPr>
        <w:t xml:space="preserve">also </w:t>
      </w:r>
      <w:r w:rsidR="00EF06BB" w:rsidRPr="00594F2B">
        <w:rPr>
          <w:rFonts w:eastAsia="Calibri"/>
          <w:szCs w:val="24"/>
          <w:lang w:val="en-US" w:eastAsia="en-US" w:bidi="fa-IR"/>
        </w:rPr>
        <w:t xml:space="preserve">provide the biotech firm higher degree of flexibility </w:t>
      </w:r>
      <w:r w:rsidR="00010BDE" w:rsidRPr="00594F2B">
        <w:rPr>
          <w:rFonts w:eastAsia="Calibri"/>
          <w:szCs w:val="24"/>
          <w:lang w:val="en-US" w:eastAsia="en-US" w:bidi="fa-IR"/>
        </w:rPr>
        <w:t>during</w:t>
      </w:r>
      <w:r w:rsidR="00EF06BB" w:rsidRPr="00594F2B">
        <w:rPr>
          <w:rFonts w:eastAsia="Calibri"/>
          <w:szCs w:val="24"/>
          <w:lang w:val="en-US" w:eastAsia="en-US" w:bidi="fa-IR"/>
        </w:rPr>
        <w:t xml:space="preserve"> alliance negotiatio</w:t>
      </w:r>
      <w:r w:rsidR="002503E6" w:rsidRPr="00594F2B">
        <w:rPr>
          <w:rFonts w:eastAsia="Calibri"/>
          <w:szCs w:val="24"/>
          <w:lang w:val="en-US" w:eastAsia="en-US" w:bidi="fa-IR"/>
        </w:rPr>
        <w:t>ns. The development of advanced</w:t>
      </w:r>
      <w:r w:rsidR="002503E6" w:rsidRPr="00594F2B">
        <w:rPr>
          <w:rFonts w:eastAsia="Calibri"/>
          <w:szCs w:val="24"/>
          <w:rtl/>
          <w:lang w:val="en-US" w:eastAsia="en-US" w:bidi="fa-IR"/>
        </w:rPr>
        <w:t xml:space="preserve"> </w:t>
      </w:r>
      <w:r w:rsidR="00EF06BB" w:rsidRPr="00594F2B">
        <w:rPr>
          <w:rFonts w:eastAsia="Calibri"/>
          <w:szCs w:val="24"/>
          <w:lang w:val="en-US" w:eastAsia="en-US" w:bidi="fa-IR"/>
        </w:rPr>
        <w:t xml:space="preserve">biopharmaceutical products requires knowledge in several </w:t>
      </w:r>
      <w:r w:rsidR="00010BDE" w:rsidRPr="00594F2B">
        <w:rPr>
          <w:rFonts w:eastAsia="Calibri"/>
          <w:szCs w:val="24"/>
          <w:lang w:val="en-US" w:eastAsia="en-US" w:bidi="fa-IR"/>
        </w:rPr>
        <w:t xml:space="preserve">different </w:t>
      </w:r>
      <w:r w:rsidR="00EF06BB" w:rsidRPr="00594F2B">
        <w:rPr>
          <w:rFonts w:eastAsia="Calibri"/>
          <w:szCs w:val="24"/>
          <w:lang w:val="en-US" w:eastAsia="en-US" w:bidi="fa-IR"/>
        </w:rPr>
        <w:t xml:space="preserve">disciplines </w:t>
      </w:r>
      <w:r w:rsidR="00D15496" w:rsidRPr="00594F2B">
        <w:rPr>
          <w:rFonts w:eastAsia="Calibri"/>
          <w:szCs w:val="24"/>
          <w:lang w:val="en-US" w:eastAsia="en-US" w:bidi="fa-IR"/>
        </w:rPr>
        <w:fldChar w:fldCharType="begin" w:fldLock="1"/>
      </w:r>
      <w:r w:rsidR="00207DE0">
        <w:rPr>
          <w:rFonts w:eastAsia="Calibri"/>
          <w:szCs w:val="24"/>
          <w:lang w:val="en-US" w:eastAsia="en-US" w:bidi="fa-IR"/>
        </w:rPr>
        <w:instrText>ADDIN CSL_CITATION { "citationItems" : [ { "id" : "ITEM-1", "itemData" : { "DOI" : "10.1016/j.respol.2007.02.015", "ISBN" : "0048-7333", "ISSN" : "00487333", "abstract" : "We explore how an incumbent firm's internal knowledge and organization structure influences its strategic alliance formation. We propose that the firm's knowledge breadth and the centrality of its R&amp;D organization structure positively influence its absorptive capacity, and consequently, its propensity to form strategic alliances. We also argue that the centrality of the R&amp;D organization structure may be a substitute for the breadth of the knowledge base. We validate our ideas using data on 2647 strategic alliances formed over the period of 1993-2002 by 43 major biopharmaceutical firms in the U.S. and Europe. Our discussion focuses on the application of the knowledge-based view of the firm to strategic alliance research. The implications for public policy in the biopharmaceutical industry are also emphasized. \u00a9 2007 Elsevier B.V. All rights reserved.", "author" : [ { "dropping-particle" : "", "family" : "Zhang", "given" : "Jing", "non-dropping-particle" : "", "parse-names" : false, "suffix" : "" }, { "dropping-particle" : "", "family" : "Baden-Fuller", "given" : "Charles", "non-dropping-particle" : "", "parse-names" : false, "suffix" : "" }, { "dropping-particle" : "", "family" : "Mangematin", "given" : "Vincent", "non-dropping-particle" : "", "parse-names" : false, "suffix" : "" } ], "container-title" : "Research Policy", "id" : "ITEM-1", "issue" : "4", "issued" : { "date-parts" : [ [ "2007" ] ] }, "page" : "515-528", "title" : "Technological knowledge base, R&amp;D organization structure and alliance formation: Evidence from the biopharmaceutical industry", "type" : "article-journal", "volume" : "36" }, "uris" : [ "http://www.mendeley.com/documents/?uuid=e96dd238-861d-4070-8d37-985a56e1013a", "http://www.mendeley.com/documents/?uuid=c31d188d-dd50-4f39-9a43-95438d532d83" ] } ], "mendeley" : { "formattedCitation" : "(Zhang et al., 2007)", "plainTextFormattedCitation" : "(Zhang et al., 2007)", "previouslyFormattedCitation" : "(Zhang et al., 2007)" }, "properties" : {  }, "schema" : "https://github.com/citation-style-language/schema/raw/master/csl-citation.json" }</w:instrText>
      </w:r>
      <w:r w:rsidR="00D15496" w:rsidRPr="00594F2B">
        <w:rPr>
          <w:rFonts w:eastAsia="Calibri"/>
          <w:szCs w:val="24"/>
          <w:lang w:val="en-US" w:eastAsia="en-US" w:bidi="fa-IR"/>
        </w:rPr>
        <w:fldChar w:fldCharType="separate"/>
      </w:r>
      <w:r w:rsidR="00207DE0" w:rsidRPr="00207DE0">
        <w:rPr>
          <w:rFonts w:eastAsia="Calibri"/>
          <w:noProof/>
          <w:szCs w:val="24"/>
          <w:lang w:val="en-US" w:eastAsia="en-US" w:bidi="fa-IR"/>
        </w:rPr>
        <w:t>(Zhang et al., 2007)</w:t>
      </w:r>
      <w:r w:rsidR="00D15496" w:rsidRPr="00594F2B">
        <w:rPr>
          <w:rFonts w:eastAsia="Calibri"/>
          <w:szCs w:val="24"/>
          <w:lang w:val="en-US" w:eastAsia="en-US" w:bidi="fa-IR"/>
        </w:rPr>
        <w:fldChar w:fldCharType="end"/>
      </w:r>
      <w:r w:rsidR="00D15496" w:rsidRPr="00594F2B">
        <w:rPr>
          <w:rFonts w:eastAsia="Calibri"/>
          <w:szCs w:val="24"/>
          <w:lang w:val="en-US" w:eastAsia="en-US" w:bidi="fa-IR"/>
        </w:rPr>
        <w:t xml:space="preserve">. </w:t>
      </w:r>
      <w:r w:rsidR="00EF06BB" w:rsidRPr="00594F2B">
        <w:rPr>
          <w:rFonts w:eastAsia="Calibri"/>
          <w:szCs w:val="24"/>
          <w:lang w:val="en-US" w:eastAsia="en-US" w:bidi="fa-IR"/>
        </w:rPr>
        <w:t>If the biotech firm has technological resources that are not broad enough, it will only be able to cover a few and initial steps of the product’s value chain.</w:t>
      </w:r>
      <w:r w:rsidR="005455F8" w:rsidRPr="00594F2B">
        <w:rPr>
          <w:rFonts w:eastAsia="Calibri"/>
          <w:szCs w:val="24"/>
          <w:lang w:val="en-US" w:eastAsia="en-US" w:bidi="fa-IR"/>
        </w:rPr>
        <w:t xml:space="preserve"> </w:t>
      </w:r>
    </w:p>
    <w:p w14:paraId="75BDCD6A" w14:textId="025896C2" w:rsidR="004624B7" w:rsidRPr="00594F2B" w:rsidRDefault="004624B7" w:rsidP="00EB34AD">
      <w:pPr>
        <w:spacing w:after="160" w:line="480" w:lineRule="auto"/>
        <w:jc w:val="both"/>
        <w:rPr>
          <w:rFonts w:eastAsia="Calibri" w:cs="Arial"/>
          <w:szCs w:val="24"/>
          <w:lang w:val="en-US" w:eastAsia="en-US" w:bidi="fa-IR"/>
        </w:rPr>
      </w:pPr>
      <w:r w:rsidRPr="00594F2B">
        <w:rPr>
          <w:rFonts w:eastAsia="Calibri" w:cs="Arial"/>
          <w:szCs w:val="24"/>
          <w:lang w:val="en-US" w:eastAsia="en-US" w:bidi="fa-IR"/>
        </w:rPr>
        <w:t>Howev</w:t>
      </w:r>
      <w:r w:rsidR="00EF06BB" w:rsidRPr="00594F2B">
        <w:rPr>
          <w:rFonts w:eastAsia="Calibri" w:cs="Arial"/>
          <w:szCs w:val="24"/>
          <w:lang w:val="en-US" w:eastAsia="en-US" w:bidi="fa-IR"/>
        </w:rPr>
        <w:t xml:space="preserve">er, being technologically broad, particularly when partnering </w:t>
      </w:r>
      <w:r w:rsidR="00FB1F70" w:rsidRPr="00594F2B">
        <w:rPr>
          <w:rFonts w:eastAsia="Calibri" w:cs="Arial"/>
          <w:szCs w:val="24"/>
          <w:lang w:val="en-US" w:eastAsia="en-US" w:bidi="fa-IR"/>
        </w:rPr>
        <w:t xml:space="preserve">with </w:t>
      </w:r>
      <w:r w:rsidR="00EF06BB" w:rsidRPr="00594F2B">
        <w:rPr>
          <w:rFonts w:eastAsia="Calibri" w:cs="Arial"/>
          <w:szCs w:val="24"/>
          <w:lang w:val="en-US" w:eastAsia="en-US" w:bidi="fa-IR"/>
        </w:rPr>
        <w:t xml:space="preserve">a typically larger and broad-based pharma firm, </w:t>
      </w:r>
      <w:r w:rsidR="00FB1F70" w:rsidRPr="00594F2B">
        <w:rPr>
          <w:rFonts w:eastAsia="Calibri" w:cs="Arial"/>
          <w:szCs w:val="24"/>
          <w:lang w:val="en-US" w:eastAsia="en-US" w:bidi="fa-IR"/>
        </w:rPr>
        <w:t xml:space="preserve">can bring </w:t>
      </w:r>
      <w:r w:rsidR="00EF06BB" w:rsidRPr="00594F2B">
        <w:rPr>
          <w:rFonts w:eastAsia="Calibri" w:cs="Arial"/>
          <w:szCs w:val="24"/>
          <w:lang w:val="en-US" w:eastAsia="en-US" w:bidi="fa-IR"/>
        </w:rPr>
        <w:t>significant downsides too</w:t>
      </w:r>
      <w:r w:rsidRPr="00594F2B">
        <w:rPr>
          <w:rFonts w:eastAsia="Calibri" w:cs="Arial"/>
          <w:szCs w:val="24"/>
          <w:lang w:val="en-US" w:eastAsia="en-US" w:bidi="fa-IR"/>
        </w:rPr>
        <w:t xml:space="preserve">. For a typically small research-intensive firm, the cost of coordination and management of knowledge </w:t>
      </w:r>
      <w:r w:rsidR="00FB1F70" w:rsidRPr="00594F2B">
        <w:rPr>
          <w:rFonts w:eastAsia="Calibri" w:cs="Arial"/>
          <w:szCs w:val="24"/>
          <w:lang w:val="en-US" w:eastAsia="en-US" w:bidi="fa-IR"/>
        </w:rPr>
        <w:t>can be substantial</w:t>
      </w:r>
      <w:r w:rsidRPr="00594F2B">
        <w:rPr>
          <w:rFonts w:eastAsia="Calibri" w:cs="Arial"/>
          <w:szCs w:val="24"/>
          <w:lang w:val="en-US" w:eastAsia="en-US" w:bidi="fa-IR"/>
        </w:rPr>
        <w:t xml:space="preserve">. Also, if the biotech firm is technologically-broad, chances are higher that its pharma partner has expertise in one or </w:t>
      </w:r>
      <w:r w:rsidR="00EF06BB" w:rsidRPr="00594F2B">
        <w:rPr>
          <w:rFonts w:eastAsia="Calibri" w:cs="Arial"/>
          <w:szCs w:val="24"/>
          <w:lang w:val="en-US" w:eastAsia="en-US" w:bidi="fa-IR"/>
        </w:rPr>
        <w:t>few</w:t>
      </w:r>
      <w:r w:rsidRPr="00594F2B">
        <w:rPr>
          <w:rFonts w:eastAsia="Calibri" w:cs="Arial"/>
          <w:szCs w:val="24"/>
          <w:lang w:val="en-US" w:eastAsia="en-US" w:bidi="fa-IR"/>
        </w:rPr>
        <w:t xml:space="preserve"> technology </w:t>
      </w:r>
      <w:proofErr w:type="gramStart"/>
      <w:r w:rsidRPr="00594F2B">
        <w:rPr>
          <w:rFonts w:eastAsia="Calibri" w:cs="Arial"/>
          <w:szCs w:val="24"/>
          <w:lang w:val="en-US" w:eastAsia="en-US" w:bidi="fa-IR"/>
        </w:rPr>
        <w:t>areas</w:t>
      </w:r>
      <w:proofErr w:type="gramEnd"/>
      <w:r w:rsidRPr="00594F2B">
        <w:rPr>
          <w:rFonts w:eastAsia="Calibri" w:cs="Arial"/>
          <w:szCs w:val="24"/>
          <w:lang w:val="en-US" w:eastAsia="en-US" w:bidi="fa-IR"/>
        </w:rPr>
        <w:t xml:space="preserve"> </w:t>
      </w:r>
      <w:r w:rsidR="00EF06BB" w:rsidRPr="00594F2B">
        <w:rPr>
          <w:rFonts w:eastAsia="Calibri" w:cs="Arial"/>
          <w:szCs w:val="24"/>
          <w:lang w:val="en-US" w:eastAsia="en-US" w:bidi="fa-IR"/>
        </w:rPr>
        <w:t xml:space="preserve">but it is difficult to assess the market value of the technology, as only time and continuous development in one or few areas seems to resolve such uncertainty (McGill and Santoro, 2009). </w:t>
      </w:r>
      <w:r w:rsidRPr="00594F2B">
        <w:rPr>
          <w:rFonts w:eastAsia="Calibri" w:cs="Arial"/>
          <w:szCs w:val="24"/>
          <w:lang w:val="en-US" w:eastAsia="en-US" w:bidi="fa-IR"/>
        </w:rPr>
        <w:t xml:space="preserve">Thus, faced with </w:t>
      </w:r>
      <w:r w:rsidR="00960805" w:rsidRPr="00594F2B">
        <w:rPr>
          <w:rFonts w:eastAsia="Calibri" w:cs="Arial"/>
          <w:szCs w:val="24"/>
          <w:lang w:val="en-US" w:eastAsia="en-US" w:bidi="fa-IR"/>
        </w:rPr>
        <w:t xml:space="preserve">unfavorable </w:t>
      </w:r>
      <w:r w:rsidRPr="00594F2B">
        <w:rPr>
          <w:rFonts w:eastAsia="Calibri" w:cs="Arial"/>
          <w:szCs w:val="24"/>
          <w:lang w:val="en-US" w:eastAsia="en-US" w:bidi="fa-IR"/>
        </w:rPr>
        <w:t xml:space="preserve">information asymmetry and prone to </w:t>
      </w:r>
      <w:r w:rsidR="00997539" w:rsidRPr="00594F2B">
        <w:rPr>
          <w:rFonts w:eastAsia="Calibri" w:cs="Arial"/>
          <w:szCs w:val="24"/>
          <w:lang w:val="en-US" w:eastAsia="en-US" w:bidi="fa-IR"/>
        </w:rPr>
        <w:t xml:space="preserve">the </w:t>
      </w:r>
      <w:r w:rsidR="00960805" w:rsidRPr="00594F2B">
        <w:rPr>
          <w:rFonts w:eastAsia="Calibri" w:cs="Arial"/>
          <w:szCs w:val="24"/>
          <w:lang w:val="en-US" w:eastAsia="en-US" w:bidi="fa-IR"/>
        </w:rPr>
        <w:t>biotech firm’s</w:t>
      </w:r>
      <w:r w:rsidR="00EF06BB" w:rsidRPr="00594F2B">
        <w:rPr>
          <w:rFonts w:eastAsia="Calibri" w:cs="Arial"/>
          <w:szCs w:val="24"/>
          <w:lang w:val="en-US" w:eastAsia="en-US" w:bidi="fa-IR"/>
        </w:rPr>
        <w:t xml:space="preserve"> </w:t>
      </w:r>
      <w:r w:rsidR="00960805" w:rsidRPr="00594F2B">
        <w:rPr>
          <w:rFonts w:eastAsia="Calibri" w:cs="Arial"/>
          <w:szCs w:val="24"/>
          <w:lang w:val="en-US" w:eastAsia="en-US" w:bidi="fa-IR"/>
        </w:rPr>
        <w:t xml:space="preserve">potential </w:t>
      </w:r>
      <w:r w:rsidRPr="00594F2B">
        <w:rPr>
          <w:rFonts w:eastAsia="Calibri" w:cs="Arial"/>
          <w:szCs w:val="24"/>
          <w:lang w:val="en-US" w:eastAsia="en-US" w:bidi="fa-IR"/>
        </w:rPr>
        <w:t>opportunistic be</w:t>
      </w:r>
      <w:r w:rsidR="00960805" w:rsidRPr="00594F2B">
        <w:rPr>
          <w:rFonts w:eastAsia="Calibri" w:cs="Arial"/>
          <w:szCs w:val="24"/>
          <w:lang w:val="en-US" w:eastAsia="en-US" w:bidi="fa-IR"/>
        </w:rPr>
        <w:t>havior, the pharma partner applies</w:t>
      </w:r>
      <w:r w:rsidRPr="00594F2B">
        <w:rPr>
          <w:rFonts w:eastAsia="Calibri" w:cs="Arial"/>
          <w:szCs w:val="24"/>
          <w:lang w:val="en-US" w:eastAsia="en-US" w:bidi="fa-IR"/>
        </w:rPr>
        <w:t xml:space="preserve"> a discount on the value of the technology and offers the biotech firm less financial capital</w:t>
      </w:r>
      <w:r w:rsidR="00C94E07" w:rsidRPr="00594F2B">
        <w:rPr>
          <w:rFonts w:eastAsia="Calibri" w:cs="Arial"/>
          <w:szCs w:val="24"/>
          <w:lang w:val="en-US" w:eastAsia="en-US" w:bidi="fa-IR"/>
        </w:rPr>
        <w:t xml:space="preserve"> </w:t>
      </w:r>
      <w:r w:rsidR="00D15496" w:rsidRPr="00594F2B">
        <w:rPr>
          <w:rFonts w:eastAsia="Calibri" w:cs="Arial"/>
          <w:szCs w:val="24"/>
          <w:lang w:val="en-US" w:eastAsia="en-US" w:bidi="fa-IR"/>
        </w:rPr>
        <w:fldChar w:fldCharType="begin" w:fldLock="1"/>
      </w:r>
      <w:r w:rsidR="00207DE0">
        <w:rPr>
          <w:rFonts w:eastAsia="Calibri" w:cs="Arial"/>
          <w:szCs w:val="24"/>
          <w:lang w:val="en-US" w:eastAsia="en-US" w:bidi="fa-IR"/>
        </w:rPr>
        <w:instrText>ADDIN CSL_CITATION { "citationItems" : [ { "id" : "ITEM-1", "itemData" : { "DOI" : "10.1111/1467-6451.00066", "ISSN" : "00221821", "author" : [ { "dropping-particle" : "", "family" : "Lerner", "given" : "Josh", "non-dropping-particle" : "", "parse-names" : false, "suffix" : "" }, { "dropping-particle" : "", "family" : "Merges", "given" : "Robert P.", "non-dropping-particle" : "", "parse-names" : false, "suffix" : "" } ], "container-title" : "The Journal of Industrial Economics", "id" : "ITEM-1", "issue" : "2", "issued" : { "date-parts" : [ [ "1998", "3" ] ] }, "page" : "125-156", "title" : "The Control of Technology Alliances: An Empirical Analysis of the Biotechnology Industry", "type" : "article-journal", "volume" : "46" }, "uris" : [ "http://www.mendeley.com/documents/?uuid=575ef7c1-b693-3f8a-bfdd-4557b008a26d", "http://www.mendeley.com/documents/?uuid=134dcae9-42bc-46d2-864f-b4ed05f3041a" ] }, { "id" : "ITEM-2", "itemData" : { "author" : [ { "dropping-particle" : "", "family" : "Aghion", "given" : "Philippe", "non-dropping-particle" : "", "parse-names" : false, "suffix" : "" }, { "dropping-particle" : "", "family" : "Tirole", "given" : "Jean", "non-dropping-particle" : "", "parse-names" : false, "suffix" : "" } ], "container-title" : "The Quarterly Journal of Economics", "id" : "ITEM-2", "issue" : "4", "issued" : { "date-parts" : [ [ "1994" ] ] }, "page" : "1185-1209", "publisher" : "MIT Press", "title" : "The management of innovation", "type" : "article-journal", "volume" : "109" }, "uris" : [ "http://www.mendeley.com/documents/?uuid=656576ce-eaf8-4acb-b94e-a2f6de533fb5", "http://www.mendeley.com/documents/?uuid=45474741-e674-43bd-95c7-aaddb1c4dd93" ] } ], "mendeley" : { "formattedCitation" : "(Aghion &amp; Tirole, 1994; Lerner &amp; Merges, 1998)", "plainTextFormattedCitation" : "(Aghion &amp; Tirole, 1994; Lerner &amp; Merges, 1998)", "previouslyFormattedCitation" : "(Aghion &amp; Tirole, 1994; Lerner &amp; Merges, 1998)" }, "properties" : {  }, "schema" : "https://github.com/citation-style-language/schema/raw/master/csl-citation.json" }</w:instrText>
      </w:r>
      <w:r w:rsidR="00D15496" w:rsidRPr="00594F2B">
        <w:rPr>
          <w:rFonts w:eastAsia="Calibri" w:cs="Arial"/>
          <w:szCs w:val="24"/>
          <w:lang w:val="en-US" w:eastAsia="en-US" w:bidi="fa-IR"/>
        </w:rPr>
        <w:fldChar w:fldCharType="separate"/>
      </w:r>
      <w:r w:rsidR="00207DE0" w:rsidRPr="00207DE0">
        <w:rPr>
          <w:rFonts w:eastAsia="Calibri" w:cs="Arial"/>
          <w:noProof/>
          <w:szCs w:val="24"/>
          <w:lang w:val="en-US" w:eastAsia="en-US" w:bidi="fa-IR"/>
        </w:rPr>
        <w:t>(Aghion &amp; Tirole, 1994; Lerner &amp; Merges, 1998)</w:t>
      </w:r>
      <w:r w:rsidR="00D15496" w:rsidRPr="00594F2B">
        <w:rPr>
          <w:rFonts w:eastAsia="Calibri" w:cs="Arial"/>
          <w:szCs w:val="24"/>
          <w:lang w:val="en-US" w:eastAsia="en-US" w:bidi="fa-IR"/>
        </w:rPr>
        <w:fldChar w:fldCharType="end"/>
      </w:r>
      <w:r w:rsidRPr="00594F2B">
        <w:rPr>
          <w:rFonts w:eastAsia="Calibri" w:cs="Arial"/>
          <w:szCs w:val="24"/>
          <w:lang w:val="en-US" w:eastAsia="en-US" w:bidi="fa-IR"/>
        </w:rPr>
        <w:t xml:space="preserve">. A broad </w:t>
      </w:r>
      <w:r w:rsidR="00997539" w:rsidRPr="00594F2B">
        <w:rPr>
          <w:rFonts w:eastAsia="Calibri" w:cs="Arial"/>
          <w:szCs w:val="24"/>
          <w:lang w:val="en-US" w:eastAsia="en-US" w:bidi="fa-IR"/>
        </w:rPr>
        <w:t>rather than</w:t>
      </w:r>
      <w:r w:rsidRPr="00594F2B">
        <w:rPr>
          <w:rFonts w:eastAsia="Calibri" w:cs="Arial"/>
          <w:szCs w:val="24"/>
          <w:lang w:val="en-US" w:eastAsia="en-US" w:bidi="fa-IR"/>
        </w:rPr>
        <w:t xml:space="preserve"> deep biotech firm </w:t>
      </w:r>
      <w:r w:rsidR="00997539" w:rsidRPr="00594F2B">
        <w:rPr>
          <w:rFonts w:eastAsia="Calibri" w:cs="Arial"/>
          <w:szCs w:val="24"/>
          <w:lang w:val="en-US" w:eastAsia="en-US" w:bidi="fa-IR"/>
        </w:rPr>
        <w:t xml:space="preserve">may be </w:t>
      </w:r>
      <w:r w:rsidR="00997539" w:rsidRPr="00594F2B">
        <w:rPr>
          <w:rFonts w:eastAsia="Calibri" w:cs="Arial"/>
          <w:szCs w:val="24"/>
          <w:lang w:val="en-US" w:eastAsia="en-US" w:bidi="fa-IR"/>
        </w:rPr>
        <w:lastRenderedPageBreak/>
        <w:t>perceived by</w:t>
      </w:r>
      <w:r w:rsidRPr="00594F2B">
        <w:rPr>
          <w:rFonts w:eastAsia="Calibri" w:cs="Arial"/>
          <w:szCs w:val="24"/>
          <w:lang w:val="en-US" w:eastAsia="en-US" w:bidi="fa-IR"/>
        </w:rPr>
        <w:t xml:space="preserve"> its pharma partner that despite limited resources, it has not focused </w:t>
      </w:r>
      <w:r w:rsidR="00997539" w:rsidRPr="00594F2B">
        <w:rPr>
          <w:rFonts w:eastAsia="Calibri" w:cs="Arial"/>
          <w:szCs w:val="24"/>
          <w:lang w:val="en-US" w:eastAsia="en-US" w:bidi="fa-IR"/>
        </w:rPr>
        <w:t xml:space="preserve">its efforts </w:t>
      </w:r>
      <w:r w:rsidRPr="00594F2B">
        <w:rPr>
          <w:rFonts w:eastAsia="Calibri" w:cs="Arial"/>
          <w:szCs w:val="24"/>
          <w:lang w:val="en-US" w:eastAsia="en-US" w:bidi="fa-IR"/>
        </w:rPr>
        <w:t xml:space="preserve">on </w:t>
      </w:r>
      <w:r w:rsidR="00997539" w:rsidRPr="00594F2B">
        <w:rPr>
          <w:rFonts w:eastAsia="Calibri" w:cs="Arial"/>
          <w:szCs w:val="24"/>
          <w:lang w:val="en-US" w:eastAsia="en-US" w:bidi="fa-IR"/>
        </w:rPr>
        <w:t>targeted</w:t>
      </w:r>
      <w:r w:rsidRPr="00594F2B">
        <w:rPr>
          <w:rFonts w:eastAsia="Calibri" w:cs="Arial"/>
          <w:szCs w:val="24"/>
          <w:lang w:val="en-US" w:eastAsia="en-US" w:bidi="fa-IR"/>
        </w:rPr>
        <w:t xml:space="preserve"> technology areas:</w:t>
      </w:r>
    </w:p>
    <w:p w14:paraId="0D7E5DD0" w14:textId="77777777" w:rsidR="004624B7" w:rsidRPr="00594F2B" w:rsidRDefault="004624B7" w:rsidP="004624B7">
      <w:pPr>
        <w:spacing w:after="160" w:line="480" w:lineRule="auto"/>
        <w:ind w:left="720"/>
        <w:jc w:val="both"/>
        <w:rPr>
          <w:rFonts w:eastAsia="Calibri" w:cs="Arial"/>
          <w:i/>
          <w:iCs/>
          <w:szCs w:val="24"/>
          <w:lang w:val="en-US" w:eastAsia="en-US" w:bidi="fa-IR"/>
        </w:rPr>
      </w:pPr>
      <w:r w:rsidRPr="00594F2B">
        <w:rPr>
          <w:rFonts w:eastAsia="Calibri" w:cs="Arial"/>
          <w:b/>
          <w:bCs/>
          <w:i/>
          <w:iCs/>
          <w:szCs w:val="24"/>
          <w:lang w:val="en-US" w:eastAsia="en-US" w:bidi="fa-IR"/>
        </w:rPr>
        <w:t xml:space="preserve">Hypothesis 2: </w:t>
      </w:r>
      <w:r w:rsidRPr="00594F2B">
        <w:rPr>
          <w:rFonts w:eastAsia="Calibri" w:cs="Arial"/>
          <w:i/>
          <w:iCs/>
          <w:szCs w:val="24"/>
          <w:lang w:val="en-US" w:eastAsia="en-US" w:bidi="fa-IR"/>
        </w:rPr>
        <w:t xml:space="preserve">The amount of financial capital a biotech firm receives in an alliance with a larger pharma partner is negatively related to the breadth of its technological resources. </w:t>
      </w:r>
    </w:p>
    <w:p w14:paraId="1241963B" w14:textId="77777777" w:rsidR="009A3E98" w:rsidRDefault="009A3E98" w:rsidP="00425019">
      <w:pPr>
        <w:spacing w:line="480" w:lineRule="auto"/>
        <w:jc w:val="both"/>
        <w:rPr>
          <w:rFonts w:eastAsia="Calibri" w:cs="Arial"/>
          <w:b/>
          <w:bCs/>
          <w:i/>
          <w:iCs/>
          <w:szCs w:val="24"/>
          <w:lang w:val="en-US" w:bidi="fa-IR"/>
        </w:rPr>
      </w:pPr>
    </w:p>
    <w:p w14:paraId="6AF5C44E" w14:textId="5273898B" w:rsidR="00425019" w:rsidRPr="00594F2B" w:rsidRDefault="00425019" w:rsidP="00425019">
      <w:pPr>
        <w:spacing w:line="480" w:lineRule="auto"/>
        <w:jc w:val="both"/>
        <w:rPr>
          <w:rFonts w:eastAsia="Calibri" w:cs="Arial"/>
          <w:b/>
          <w:bCs/>
          <w:i/>
          <w:iCs/>
          <w:szCs w:val="24"/>
          <w:lang w:val="en-US" w:bidi="fa-IR"/>
        </w:rPr>
      </w:pPr>
      <w:r w:rsidRPr="00594F2B">
        <w:rPr>
          <w:rFonts w:eastAsia="Calibri" w:cs="Arial"/>
          <w:b/>
          <w:bCs/>
          <w:i/>
          <w:iCs/>
          <w:szCs w:val="24"/>
          <w:lang w:val="en-US" w:bidi="fa-IR"/>
        </w:rPr>
        <w:t xml:space="preserve">Stage of </w:t>
      </w:r>
      <w:r w:rsidR="00B21AE4" w:rsidRPr="00594F2B">
        <w:rPr>
          <w:rFonts w:eastAsia="Calibri" w:cs="Arial"/>
          <w:b/>
          <w:bCs/>
          <w:i/>
          <w:iCs/>
          <w:szCs w:val="24"/>
          <w:lang w:val="en-US" w:bidi="fa-IR"/>
        </w:rPr>
        <w:t xml:space="preserve">technology </w:t>
      </w:r>
      <w:r w:rsidRPr="00594F2B">
        <w:rPr>
          <w:rFonts w:eastAsia="Calibri" w:cs="Arial"/>
          <w:b/>
          <w:bCs/>
          <w:i/>
          <w:iCs/>
          <w:szCs w:val="24"/>
          <w:lang w:val="en-US" w:bidi="fa-IR"/>
        </w:rPr>
        <w:t xml:space="preserve">development as a moderator </w:t>
      </w:r>
      <w:r w:rsidR="00B21AE4" w:rsidRPr="00594F2B">
        <w:rPr>
          <w:rFonts w:eastAsia="Calibri" w:cs="Arial"/>
          <w:b/>
          <w:bCs/>
          <w:i/>
          <w:iCs/>
          <w:szCs w:val="24"/>
          <w:lang w:val="en-US" w:bidi="fa-IR"/>
        </w:rPr>
        <w:t>for depth, breadth, and financial capital</w:t>
      </w:r>
    </w:p>
    <w:p w14:paraId="5C740C1E" w14:textId="0B804BCE" w:rsidR="00C94E07" w:rsidRPr="00594F2B" w:rsidRDefault="00C94E07" w:rsidP="001A4617">
      <w:pPr>
        <w:spacing w:after="160" w:line="480" w:lineRule="auto"/>
        <w:jc w:val="both"/>
        <w:rPr>
          <w:rFonts w:eastAsia="Calibri" w:cs="Arial"/>
          <w:szCs w:val="24"/>
          <w:lang w:val="en-US" w:eastAsia="en-US" w:bidi="fa-IR"/>
        </w:rPr>
      </w:pPr>
      <w:r w:rsidRPr="00594F2B">
        <w:rPr>
          <w:rFonts w:eastAsia="Calibri" w:cs="Arial"/>
          <w:szCs w:val="24"/>
          <w:lang w:val="en-US" w:eastAsia="en-US" w:bidi="fa-IR"/>
        </w:rPr>
        <w:t xml:space="preserve">The stage of development of </w:t>
      </w:r>
      <w:r w:rsidR="00AA392C" w:rsidRPr="00594F2B">
        <w:rPr>
          <w:rFonts w:eastAsia="Calibri" w:cs="Arial"/>
          <w:szCs w:val="24"/>
          <w:lang w:val="en-US" w:eastAsia="en-US" w:bidi="fa-IR"/>
        </w:rPr>
        <w:t xml:space="preserve">a </w:t>
      </w:r>
      <w:r w:rsidRPr="00594F2B">
        <w:rPr>
          <w:rFonts w:eastAsia="Calibri" w:cs="Arial"/>
          <w:szCs w:val="24"/>
          <w:lang w:val="en-US" w:eastAsia="en-US" w:bidi="fa-IR"/>
        </w:rPr>
        <w:t xml:space="preserve">technology </w:t>
      </w:r>
      <w:r w:rsidR="00AA392C" w:rsidRPr="00594F2B">
        <w:rPr>
          <w:rFonts w:eastAsia="Calibri" w:cs="Arial"/>
          <w:szCs w:val="24"/>
          <w:lang w:val="en-US" w:eastAsia="en-US" w:bidi="fa-IR"/>
        </w:rPr>
        <w:t>can be an important indicator at the time of negotiating partnership terms to not only</w:t>
      </w:r>
      <w:r w:rsidRPr="00594F2B">
        <w:rPr>
          <w:rFonts w:eastAsia="Calibri" w:cs="Arial"/>
          <w:szCs w:val="24"/>
          <w:lang w:val="en-US" w:eastAsia="en-US" w:bidi="fa-IR"/>
        </w:rPr>
        <w:t xml:space="preserve"> the firm possessing that technology </w:t>
      </w:r>
      <w:r w:rsidR="00AA392C" w:rsidRPr="00594F2B">
        <w:rPr>
          <w:rFonts w:eastAsia="Calibri" w:cs="Arial"/>
          <w:szCs w:val="24"/>
          <w:lang w:val="en-US" w:eastAsia="en-US" w:bidi="fa-IR"/>
        </w:rPr>
        <w:t>but also to that firm’s potential partner</w:t>
      </w:r>
      <w:r w:rsidR="00197191" w:rsidRPr="00594F2B">
        <w:rPr>
          <w:rFonts w:eastAsia="Calibri" w:cs="Arial"/>
          <w:szCs w:val="24"/>
          <w:lang w:val="en-US" w:eastAsia="en-US" w:bidi="fa-IR"/>
        </w:rPr>
        <w:t xml:space="preserve"> (</w:t>
      </w:r>
      <w:r w:rsidR="00197191" w:rsidRPr="00594F2B">
        <w:rPr>
          <w:lang w:val="en-US" w:bidi="fa-IR"/>
        </w:rPr>
        <w:t xml:space="preserve">Deeds, </w:t>
      </w:r>
      <w:proofErr w:type="spellStart"/>
      <w:r w:rsidR="00197191" w:rsidRPr="00594F2B">
        <w:rPr>
          <w:lang w:val="en-US" w:bidi="fa-IR"/>
        </w:rPr>
        <w:t>Decarolis</w:t>
      </w:r>
      <w:proofErr w:type="spellEnd"/>
      <w:r w:rsidR="00197191" w:rsidRPr="00594F2B">
        <w:rPr>
          <w:lang w:val="en-US" w:bidi="fa-IR"/>
        </w:rPr>
        <w:t>, &amp; Coombs, 1997</w:t>
      </w:r>
      <w:r w:rsidR="00197191" w:rsidRPr="00594F2B">
        <w:rPr>
          <w:rFonts w:eastAsia="Calibri" w:cs="Arial"/>
          <w:szCs w:val="24"/>
          <w:lang w:val="en-US" w:eastAsia="en-US" w:bidi="fa-IR"/>
        </w:rPr>
        <w:t>)</w:t>
      </w:r>
      <w:r w:rsidRPr="00594F2B">
        <w:rPr>
          <w:rFonts w:eastAsia="Calibri" w:cs="Arial"/>
          <w:szCs w:val="24"/>
          <w:lang w:val="en-US" w:eastAsia="en-US" w:bidi="fa-IR"/>
        </w:rPr>
        <w:t>. A biotechnology project well-developed into the later stages of clinical trials faces far less uncertainty than those projects which are still in discovery phase</w:t>
      </w:r>
      <w:r w:rsidR="00AA392C" w:rsidRPr="00594F2B">
        <w:rPr>
          <w:rFonts w:eastAsia="Calibri" w:cs="Arial"/>
          <w:szCs w:val="24"/>
          <w:lang w:val="en-US" w:eastAsia="en-US" w:bidi="fa-IR"/>
        </w:rPr>
        <w:t xml:space="preserve"> </w:t>
      </w:r>
      <w:r w:rsidR="001A4617" w:rsidRPr="00594F2B">
        <w:rPr>
          <w:rFonts w:eastAsia="Calibri" w:cs="Arial"/>
          <w:szCs w:val="24"/>
          <w:lang w:val="en-US" w:eastAsia="en-US" w:bidi="fa-IR"/>
        </w:rPr>
        <w:t xml:space="preserve">(Gopalakrishnan, </w:t>
      </w:r>
      <w:proofErr w:type="spellStart"/>
      <w:r w:rsidR="001A4617" w:rsidRPr="00594F2B">
        <w:rPr>
          <w:rFonts w:eastAsia="Calibri" w:cs="Arial"/>
          <w:szCs w:val="24"/>
          <w:lang w:val="en-US" w:eastAsia="en-US" w:bidi="fa-IR"/>
        </w:rPr>
        <w:t>Scillitoe</w:t>
      </w:r>
      <w:proofErr w:type="spellEnd"/>
      <w:r w:rsidR="001A4617" w:rsidRPr="00594F2B">
        <w:rPr>
          <w:rFonts w:eastAsia="Calibri" w:cs="Arial"/>
          <w:szCs w:val="24"/>
          <w:lang w:val="en-US" w:eastAsia="en-US" w:bidi="fa-IR"/>
        </w:rPr>
        <w:t>, &amp; Santoro, 2008)</w:t>
      </w:r>
      <w:r w:rsidRPr="00594F2B">
        <w:rPr>
          <w:rFonts w:eastAsia="Calibri" w:cs="Arial"/>
          <w:szCs w:val="24"/>
          <w:lang w:val="en-US" w:eastAsia="en-US" w:bidi="fa-IR"/>
        </w:rPr>
        <w:t xml:space="preserve">. The reduced uncertainty means higher prospects of profitability once and if the project eventually leads to </w:t>
      </w:r>
      <w:r w:rsidR="001A4617" w:rsidRPr="00594F2B">
        <w:rPr>
          <w:rFonts w:eastAsia="Calibri" w:cs="Arial"/>
          <w:szCs w:val="24"/>
          <w:lang w:val="en-US" w:eastAsia="en-US" w:bidi="fa-IR"/>
        </w:rPr>
        <w:t>a</w:t>
      </w:r>
      <w:r w:rsidRPr="00594F2B">
        <w:rPr>
          <w:rFonts w:eastAsia="Calibri" w:cs="Arial"/>
          <w:szCs w:val="24"/>
          <w:lang w:val="en-US" w:eastAsia="en-US" w:bidi="fa-IR"/>
        </w:rPr>
        <w:t xml:space="preserve"> launched and successfully commercialized</w:t>
      </w:r>
      <w:r w:rsidR="001A4617" w:rsidRPr="00594F2B">
        <w:rPr>
          <w:rFonts w:eastAsia="Calibri" w:cs="Arial"/>
          <w:szCs w:val="24"/>
          <w:lang w:val="en-US" w:eastAsia="en-US" w:bidi="fa-IR"/>
        </w:rPr>
        <w:t xml:space="preserve"> drug</w:t>
      </w:r>
      <w:r w:rsidRPr="00594F2B">
        <w:rPr>
          <w:rFonts w:eastAsia="Calibri" w:cs="Arial"/>
          <w:szCs w:val="24"/>
          <w:lang w:val="en-US" w:eastAsia="en-US" w:bidi="fa-IR"/>
        </w:rPr>
        <w:t xml:space="preserve">. </w:t>
      </w:r>
      <w:r w:rsidR="0001552D" w:rsidRPr="00594F2B">
        <w:rPr>
          <w:rFonts w:eastAsia="Calibri" w:cs="Arial"/>
          <w:szCs w:val="24"/>
          <w:lang w:val="en-US" w:eastAsia="en-US" w:bidi="fa-IR"/>
        </w:rPr>
        <w:t>Therefore, a</w:t>
      </w:r>
      <w:r w:rsidRPr="00594F2B">
        <w:rPr>
          <w:rFonts w:eastAsia="Calibri" w:cs="Arial"/>
          <w:szCs w:val="24"/>
          <w:lang w:val="en-US" w:eastAsia="en-US" w:bidi="fa-IR"/>
        </w:rPr>
        <w:t>s the project moves further along the development chain, assessing its future value and the possible stream of revenue</w:t>
      </w:r>
      <w:r w:rsidR="0001552D" w:rsidRPr="00594F2B">
        <w:rPr>
          <w:rFonts w:eastAsia="Calibri" w:cs="Arial"/>
          <w:szCs w:val="24"/>
          <w:lang w:val="en-US" w:eastAsia="en-US" w:bidi="fa-IR"/>
        </w:rPr>
        <w:t>s</w:t>
      </w:r>
      <w:r w:rsidRPr="00594F2B">
        <w:rPr>
          <w:rFonts w:eastAsia="Calibri" w:cs="Arial"/>
          <w:szCs w:val="24"/>
          <w:lang w:val="en-US" w:eastAsia="en-US" w:bidi="fa-IR"/>
        </w:rPr>
        <w:t xml:space="preserve"> become easier as estimates are relatively less uncertain.</w:t>
      </w:r>
    </w:p>
    <w:p w14:paraId="6E49BC10" w14:textId="2270C1B8" w:rsidR="00197191" w:rsidRPr="00594F2B" w:rsidRDefault="009A3E98" w:rsidP="00EB34AD">
      <w:pPr>
        <w:spacing w:after="160" w:line="480" w:lineRule="auto"/>
        <w:jc w:val="both"/>
        <w:rPr>
          <w:rFonts w:eastAsia="Calibri"/>
          <w:szCs w:val="24"/>
          <w:lang w:val="en-US" w:eastAsia="en-US"/>
        </w:rPr>
      </w:pPr>
      <w:r>
        <w:rPr>
          <w:rFonts w:eastAsia="Calibri"/>
          <w:szCs w:val="24"/>
          <w:lang w:val="en-US" w:eastAsia="en-US"/>
        </w:rPr>
        <w:t>Being a biotech company with a particularly focused knowledge base and at the same time having developed a technology well</w:t>
      </w:r>
      <w:r w:rsidR="00EB34AD">
        <w:rPr>
          <w:rFonts w:eastAsia="Calibri"/>
          <w:szCs w:val="24"/>
          <w:lang w:val="en-US" w:eastAsia="en-US"/>
        </w:rPr>
        <w:t xml:space="preserve"> into later stages of</w:t>
      </w:r>
      <w:r>
        <w:rPr>
          <w:rFonts w:eastAsia="Calibri"/>
          <w:szCs w:val="24"/>
          <w:lang w:val="en-US" w:eastAsia="en-US"/>
        </w:rPr>
        <w:t xml:space="preserve"> clinical trials</w:t>
      </w:r>
      <w:r w:rsidR="00EB34AD">
        <w:rPr>
          <w:rFonts w:eastAsia="Calibri"/>
          <w:szCs w:val="24"/>
          <w:lang w:val="en-US" w:eastAsia="en-US"/>
        </w:rPr>
        <w:t xml:space="preserve"> would appeal to pharma companies. </w:t>
      </w:r>
      <w:r w:rsidR="00197191" w:rsidRPr="00594F2B">
        <w:rPr>
          <w:rFonts w:eastAsia="Calibri"/>
          <w:szCs w:val="24"/>
          <w:lang w:val="en-US" w:eastAsia="en-US"/>
        </w:rPr>
        <w:t xml:space="preserve">When a technology deal is </w:t>
      </w:r>
      <w:r w:rsidR="0001552D" w:rsidRPr="00594F2B">
        <w:rPr>
          <w:rFonts w:eastAsia="Calibri"/>
          <w:szCs w:val="24"/>
          <w:lang w:val="en-US" w:eastAsia="en-US"/>
        </w:rPr>
        <w:t>consummated</w:t>
      </w:r>
      <w:r w:rsidR="00197191" w:rsidRPr="00594F2B">
        <w:rPr>
          <w:rFonts w:eastAsia="Calibri"/>
          <w:szCs w:val="24"/>
          <w:lang w:val="en-US" w:eastAsia="en-US"/>
        </w:rPr>
        <w:t xml:space="preserve"> at the later stages of development, the transfer of specific</w:t>
      </w:r>
      <w:r w:rsidR="0001552D" w:rsidRPr="00594F2B">
        <w:rPr>
          <w:rFonts w:eastAsia="Calibri"/>
          <w:szCs w:val="24"/>
          <w:lang w:val="en-US" w:eastAsia="en-US"/>
        </w:rPr>
        <w:t>, basic underlying</w:t>
      </w:r>
      <w:r w:rsidR="00197191" w:rsidRPr="00594F2B">
        <w:rPr>
          <w:rFonts w:eastAsia="Calibri"/>
          <w:szCs w:val="24"/>
          <w:lang w:val="en-US" w:eastAsia="en-US"/>
        </w:rPr>
        <w:t xml:space="preserve"> knowledge from the biotech firm to the pharma partner </w:t>
      </w:r>
      <w:r w:rsidR="0001552D" w:rsidRPr="00594F2B">
        <w:rPr>
          <w:rFonts w:eastAsia="Calibri"/>
          <w:szCs w:val="24"/>
          <w:lang w:val="en-US" w:eastAsia="en-US"/>
        </w:rPr>
        <w:t>becomes much more difficult</w:t>
      </w:r>
      <w:r w:rsidR="00197191" w:rsidRPr="00594F2B">
        <w:rPr>
          <w:rFonts w:eastAsia="Calibri"/>
          <w:szCs w:val="24"/>
          <w:lang w:val="en-US" w:eastAsia="en-US"/>
        </w:rPr>
        <w:t xml:space="preserve">. Hence, a more focused (i.e. technologically deep) biotech firm is viewed by the pharma partner as capable of dealing with the whole technical trajectory without big pharma’s intervention, as the stock of related patents indicates the ‘deep’ biotech firm’s accomplishments. </w:t>
      </w:r>
      <w:r w:rsidR="0001552D" w:rsidRPr="00594F2B">
        <w:rPr>
          <w:rFonts w:eastAsia="Calibri"/>
          <w:szCs w:val="24"/>
          <w:lang w:val="en-US" w:eastAsia="en-US"/>
        </w:rPr>
        <w:t>Following this notion, we propose:</w:t>
      </w:r>
    </w:p>
    <w:p w14:paraId="157714D0" w14:textId="77777777" w:rsidR="005A5B4C" w:rsidRPr="00594F2B" w:rsidRDefault="005A5B4C" w:rsidP="005A5B4C">
      <w:pPr>
        <w:spacing w:after="160" w:line="480" w:lineRule="auto"/>
        <w:jc w:val="both"/>
        <w:rPr>
          <w:rFonts w:eastAsia="Calibri" w:cs="Arial"/>
          <w:i/>
          <w:iCs/>
          <w:szCs w:val="24"/>
          <w:lang w:val="en-US" w:eastAsia="en-US" w:bidi="fa-IR"/>
        </w:rPr>
      </w:pPr>
      <w:r w:rsidRPr="00594F2B">
        <w:rPr>
          <w:rFonts w:eastAsia="Calibri" w:cs="Arial"/>
          <w:b/>
          <w:bCs/>
          <w:i/>
          <w:iCs/>
          <w:szCs w:val="24"/>
          <w:lang w:val="en-US" w:eastAsia="en-US" w:bidi="fa-IR"/>
        </w:rPr>
        <w:lastRenderedPageBreak/>
        <w:t xml:space="preserve">Hypothesis 3a: </w:t>
      </w:r>
      <w:r w:rsidRPr="00594F2B">
        <w:rPr>
          <w:rFonts w:eastAsia="Calibri" w:cs="Arial"/>
          <w:i/>
          <w:iCs/>
          <w:szCs w:val="24"/>
          <w:lang w:val="en-US" w:eastAsia="en-US" w:bidi="fa-IR"/>
        </w:rPr>
        <w:t xml:space="preserve">In biotech-pharma alliances, the </w:t>
      </w:r>
      <w:r w:rsidRPr="00594F2B">
        <w:rPr>
          <w:rFonts w:eastAsia="Calibri" w:cs="Arial"/>
          <w:i/>
          <w:iCs/>
          <w:szCs w:val="24"/>
          <w:u w:val="single"/>
          <w:lang w:val="en-US" w:eastAsia="en-US" w:bidi="fa-IR"/>
        </w:rPr>
        <w:t>positive</w:t>
      </w:r>
      <w:r w:rsidRPr="00594F2B">
        <w:rPr>
          <w:rFonts w:eastAsia="Calibri" w:cs="Arial"/>
          <w:i/>
          <w:iCs/>
          <w:szCs w:val="24"/>
          <w:lang w:val="en-US" w:eastAsia="en-US" w:bidi="fa-IR"/>
        </w:rPr>
        <w:t xml:space="preserve"> relationship between depth of technological resources of the biotech firm and the financial capital it receives from the pharma partner is </w:t>
      </w:r>
      <w:r w:rsidRPr="00594F2B">
        <w:rPr>
          <w:rFonts w:eastAsia="Calibri" w:cs="Arial"/>
          <w:i/>
          <w:iCs/>
          <w:szCs w:val="24"/>
          <w:u w:val="single"/>
          <w:lang w:val="en-US" w:eastAsia="en-US" w:bidi="fa-IR"/>
        </w:rPr>
        <w:t>positively</w:t>
      </w:r>
      <w:r w:rsidRPr="00594F2B">
        <w:rPr>
          <w:rFonts w:eastAsia="Calibri" w:cs="Arial"/>
          <w:i/>
          <w:iCs/>
          <w:szCs w:val="24"/>
          <w:lang w:val="en-US" w:eastAsia="en-US" w:bidi="fa-IR"/>
        </w:rPr>
        <w:t xml:space="preserve"> moderated by the stage of development of the technology in question.</w:t>
      </w:r>
    </w:p>
    <w:p w14:paraId="355D6DEE" w14:textId="78146D56" w:rsidR="005A5B4C" w:rsidRPr="00594F2B" w:rsidRDefault="005A5B4C" w:rsidP="007F2F85">
      <w:pPr>
        <w:spacing w:after="160" w:line="480" w:lineRule="auto"/>
        <w:jc w:val="both"/>
        <w:rPr>
          <w:rFonts w:eastAsia="Calibri" w:cs="Arial"/>
          <w:szCs w:val="24"/>
          <w:lang w:val="en-US" w:eastAsia="en-US" w:bidi="fa-IR"/>
        </w:rPr>
      </w:pPr>
      <w:r w:rsidRPr="00594F2B">
        <w:rPr>
          <w:rFonts w:eastAsia="Calibri" w:cs="Arial"/>
          <w:szCs w:val="24"/>
          <w:lang w:val="en-US" w:eastAsia="en-US" w:bidi="fa-IR"/>
        </w:rPr>
        <w:t>When an alliance is formed at the later stages of technology development, breadth of knowledge in the biotech firm can play a risk-reducing role. While there is still ambiguity about the commercial success of a later</w:t>
      </w:r>
      <w:r w:rsidRPr="00594F2B">
        <w:rPr>
          <w:rFonts w:eastAsia="Calibri" w:cs="Arial"/>
          <w:szCs w:val="24"/>
          <w:rtl/>
          <w:lang w:val="en-US" w:eastAsia="en-US" w:bidi="fa-IR"/>
        </w:rPr>
        <w:t>-</w:t>
      </w:r>
      <w:r w:rsidRPr="00594F2B">
        <w:rPr>
          <w:rFonts w:eastAsia="Calibri" w:cs="Arial"/>
          <w:szCs w:val="24"/>
          <w:lang w:val="en-US" w:eastAsia="en-US" w:bidi="fa-IR"/>
        </w:rPr>
        <w:t>stage</w:t>
      </w:r>
      <w:r w:rsidR="00010BDE" w:rsidRPr="00594F2B">
        <w:rPr>
          <w:rFonts w:eastAsia="Calibri" w:cs="Arial"/>
          <w:szCs w:val="24"/>
          <w:lang w:val="en-US" w:eastAsia="en-US" w:bidi="fa-IR"/>
        </w:rPr>
        <w:t xml:space="preserve"> technology</w:t>
      </w:r>
      <w:r w:rsidRPr="00594F2B">
        <w:rPr>
          <w:rFonts w:eastAsia="Calibri" w:cs="Arial"/>
          <w:szCs w:val="24"/>
          <w:lang w:val="en-US" w:eastAsia="en-US" w:bidi="fa-IR"/>
        </w:rPr>
        <w:t xml:space="preserve">, the project has </w:t>
      </w:r>
      <w:r w:rsidR="0001552D" w:rsidRPr="00594F2B">
        <w:rPr>
          <w:rFonts w:eastAsia="Calibri" w:cs="Arial"/>
          <w:szCs w:val="24"/>
          <w:lang w:val="en-US" w:eastAsia="en-US" w:bidi="fa-IR"/>
        </w:rPr>
        <w:t>incurred</w:t>
      </w:r>
      <w:r w:rsidRPr="00594F2B">
        <w:rPr>
          <w:rFonts w:eastAsia="Calibri" w:cs="Arial"/>
          <w:szCs w:val="24"/>
          <w:lang w:val="en-US" w:eastAsia="en-US" w:bidi="fa-IR"/>
        </w:rPr>
        <w:t xml:space="preserve"> tremendous costs, including </w:t>
      </w:r>
      <w:r w:rsidR="00010BDE" w:rsidRPr="00594F2B">
        <w:rPr>
          <w:rFonts w:eastAsia="Calibri" w:cs="Arial"/>
          <w:szCs w:val="24"/>
          <w:lang w:val="en-US" w:eastAsia="en-US" w:bidi="fa-IR"/>
        </w:rPr>
        <w:t>R&amp;D expenditures, administrative costs and</w:t>
      </w:r>
      <w:r w:rsidRPr="00594F2B">
        <w:rPr>
          <w:rFonts w:eastAsia="Calibri" w:cs="Arial"/>
          <w:szCs w:val="24"/>
          <w:lang w:val="en-US" w:eastAsia="en-US" w:bidi="fa-IR"/>
        </w:rPr>
        <w:t xml:space="preserve"> opportunity costs. Analogous to the diversification strategy in stock exchange markets, “technological breadth” provides the firm the luxury of other options for knowledge recombination should </w:t>
      </w:r>
      <w:r w:rsidR="00C40F24" w:rsidRPr="00594F2B">
        <w:rPr>
          <w:rFonts w:eastAsia="Calibri" w:cs="Arial"/>
          <w:szCs w:val="24"/>
          <w:lang w:val="en-US" w:eastAsia="en-US" w:bidi="fa-IR"/>
        </w:rPr>
        <w:t>an</w:t>
      </w:r>
      <w:r w:rsidRPr="00594F2B">
        <w:rPr>
          <w:rFonts w:eastAsia="Calibri" w:cs="Arial"/>
          <w:szCs w:val="24"/>
          <w:lang w:val="en-US" w:eastAsia="en-US" w:bidi="fa-IR"/>
        </w:rPr>
        <w:t xml:space="preserve"> existing path fail</w:t>
      </w:r>
      <w:r w:rsidR="00C40F24" w:rsidRPr="00594F2B">
        <w:rPr>
          <w:rFonts w:eastAsia="Calibri" w:cs="Arial"/>
          <w:szCs w:val="24"/>
          <w:lang w:val="en-US" w:eastAsia="en-US" w:bidi="fa-IR"/>
        </w:rPr>
        <w:t xml:space="preserve"> to pan out as expected</w:t>
      </w:r>
      <w:r w:rsidRPr="00594F2B">
        <w:rPr>
          <w:rFonts w:eastAsia="Calibri" w:cs="Arial"/>
          <w:szCs w:val="24"/>
          <w:lang w:val="en-US" w:eastAsia="en-US" w:bidi="fa-IR"/>
        </w:rPr>
        <w:t xml:space="preserve">. A ‘broad’ knowledge firm </w:t>
      </w:r>
      <w:r w:rsidRPr="00594F2B">
        <w:rPr>
          <w:rFonts w:eastAsia="Calibri"/>
          <w:szCs w:val="24"/>
          <w:lang w:val="en-US" w:eastAsia="en-US" w:bidi="fa-IR"/>
        </w:rPr>
        <w:t>can easily utilize knowledge from any neighboring or distant technology area</w:t>
      </w:r>
      <w:r w:rsidR="00C40F24" w:rsidRPr="00594F2B">
        <w:rPr>
          <w:rFonts w:eastAsia="Calibri"/>
          <w:szCs w:val="24"/>
          <w:lang w:val="en-US" w:eastAsia="en-US" w:bidi="fa-IR"/>
        </w:rPr>
        <w:t>s,</w:t>
      </w:r>
      <w:r w:rsidRPr="00594F2B">
        <w:rPr>
          <w:rFonts w:eastAsia="Calibri"/>
          <w:szCs w:val="24"/>
          <w:lang w:val="en-US" w:eastAsia="en-US" w:bidi="fa-IR"/>
        </w:rPr>
        <w:t xml:space="preserve"> if necessary</w:t>
      </w:r>
      <w:r w:rsidR="00C40F24" w:rsidRPr="00594F2B">
        <w:rPr>
          <w:rFonts w:eastAsia="Calibri"/>
          <w:szCs w:val="24"/>
          <w:lang w:val="en-US" w:eastAsia="en-US" w:bidi="fa-IR"/>
        </w:rPr>
        <w:t>,</w:t>
      </w:r>
      <w:r w:rsidR="00D01C62" w:rsidRPr="00594F2B">
        <w:rPr>
          <w:rFonts w:eastAsia="Calibri"/>
          <w:szCs w:val="24"/>
          <w:lang w:val="en-US" w:eastAsia="en-US" w:bidi="fa-IR"/>
        </w:rPr>
        <w:t xml:space="preserve"> to enhance the current technologi</w:t>
      </w:r>
      <w:r w:rsidR="002B4C7E">
        <w:rPr>
          <w:rFonts w:eastAsia="Calibri"/>
          <w:szCs w:val="24"/>
          <w:lang w:val="en-US" w:eastAsia="en-US" w:bidi="fa-IR"/>
        </w:rPr>
        <w:t>cal</w:t>
      </w:r>
      <w:r w:rsidR="00D01C62" w:rsidRPr="00594F2B">
        <w:rPr>
          <w:rFonts w:eastAsia="Calibri"/>
          <w:szCs w:val="24"/>
          <w:lang w:val="en-US" w:eastAsia="en-US" w:bidi="fa-IR"/>
        </w:rPr>
        <w:t xml:space="preserve"> trajector</w:t>
      </w:r>
      <w:r w:rsidR="00C40F24" w:rsidRPr="00594F2B">
        <w:rPr>
          <w:rFonts w:eastAsia="Calibri"/>
          <w:szCs w:val="24"/>
          <w:lang w:val="en-US" w:eastAsia="en-US" w:bidi="fa-IR"/>
        </w:rPr>
        <w:t>ies</w:t>
      </w:r>
      <w:r w:rsidR="00D01C62" w:rsidRPr="00594F2B">
        <w:rPr>
          <w:rFonts w:eastAsia="Calibri"/>
          <w:szCs w:val="24"/>
          <w:lang w:val="en-US" w:eastAsia="en-US" w:bidi="fa-IR"/>
        </w:rPr>
        <w:t xml:space="preserve">.  </w:t>
      </w:r>
      <w:r w:rsidR="00096B45">
        <w:rPr>
          <w:rFonts w:eastAsia="Calibri"/>
          <w:szCs w:val="24"/>
          <w:lang w:val="en-US" w:eastAsia="en-US" w:bidi="fa-IR"/>
        </w:rPr>
        <w:t xml:space="preserve">While pharma partners would potentially fear opportunistic behavior from a technologically-broad biotech company, this uncertainty is far less when the technology in question has well advanced into later stages of development. </w:t>
      </w:r>
      <w:r w:rsidR="00D01C62" w:rsidRPr="00594F2B">
        <w:rPr>
          <w:rFonts w:eastAsia="Calibri"/>
          <w:szCs w:val="24"/>
          <w:lang w:val="en-US" w:eastAsia="en-US" w:bidi="fa-IR"/>
        </w:rPr>
        <w:t>Following these notions, we propose</w:t>
      </w:r>
      <w:r w:rsidRPr="00594F2B">
        <w:rPr>
          <w:rFonts w:eastAsia="Calibri"/>
          <w:szCs w:val="24"/>
          <w:lang w:val="en-US" w:eastAsia="en-US" w:bidi="fa-IR"/>
        </w:rPr>
        <w:t>:</w:t>
      </w:r>
    </w:p>
    <w:p w14:paraId="3DA35080" w14:textId="13BC7E3B" w:rsidR="00DE5DA9" w:rsidRDefault="005A5B4C" w:rsidP="005A5B4C">
      <w:pPr>
        <w:spacing w:after="160" w:line="480" w:lineRule="auto"/>
        <w:jc w:val="both"/>
        <w:rPr>
          <w:rFonts w:eastAsia="Calibri"/>
          <w:i/>
          <w:iCs/>
          <w:szCs w:val="24"/>
          <w:lang w:val="en-US" w:eastAsia="en-US" w:bidi="fa-IR"/>
        </w:rPr>
      </w:pPr>
      <w:r w:rsidRPr="00594F2B">
        <w:rPr>
          <w:rFonts w:eastAsia="Calibri"/>
          <w:b/>
          <w:bCs/>
          <w:i/>
          <w:iCs/>
          <w:szCs w:val="24"/>
          <w:lang w:val="en-US" w:eastAsia="en-US" w:bidi="fa-IR"/>
        </w:rPr>
        <w:t xml:space="preserve">Hypothesis 3b: </w:t>
      </w:r>
      <w:r w:rsidRPr="00594F2B">
        <w:rPr>
          <w:rFonts w:eastAsia="Calibri"/>
          <w:i/>
          <w:iCs/>
          <w:szCs w:val="24"/>
          <w:lang w:val="en-US" w:eastAsia="en-US" w:bidi="fa-IR"/>
        </w:rPr>
        <w:t xml:space="preserve">In biotech-pharma alliances, the </w:t>
      </w:r>
      <w:r w:rsidRPr="00594F2B">
        <w:rPr>
          <w:rFonts w:eastAsia="Calibri"/>
          <w:i/>
          <w:iCs/>
          <w:szCs w:val="24"/>
          <w:u w:val="single"/>
          <w:lang w:val="en-US" w:eastAsia="en-US" w:bidi="fa-IR"/>
        </w:rPr>
        <w:t>negative</w:t>
      </w:r>
      <w:r w:rsidRPr="00594F2B">
        <w:rPr>
          <w:rFonts w:eastAsia="Calibri"/>
          <w:i/>
          <w:iCs/>
          <w:szCs w:val="24"/>
          <w:lang w:val="en-US" w:eastAsia="en-US" w:bidi="fa-IR"/>
        </w:rPr>
        <w:t xml:space="preserve"> relationship between breadth of technological resources of the biotech firm and the financial capital it receives from the pharma partner is </w:t>
      </w:r>
      <w:r w:rsidRPr="00594F2B">
        <w:rPr>
          <w:rFonts w:eastAsia="Calibri"/>
          <w:i/>
          <w:iCs/>
          <w:szCs w:val="24"/>
          <w:u w:val="single"/>
          <w:lang w:val="en-US" w:eastAsia="en-US" w:bidi="fa-IR"/>
        </w:rPr>
        <w:t>negatively</w:t>
      </w:r>
      <w:r w:rsidRPr="00594F2B">
        <w:rPr>
          <w:rFonts w:eastAsia="Calibri"/>
          <w:i/>
          <w:iCs/>
          <w:szCs w:val="24"/>
          <w:lang w:val="en-US" w:eastAsia="en-US" w:bidi="fa-IR"/>
        </w:rPr>
        <w:t xml:space="preserve"> moderated by the stage of development of the technology in question.</w:t>
      </w:r>
    </w:p>
    <w:p w14:paraId="073517D1" w14:textId="77777777" w:rsidR="00096B45" w:rsidRDefault="00096B45" w:rsidP="00EB34AD">
      <w:pPr>
        <w:spacing w:line="480" w:lineRule="auto"/>
        <w:jc w:val="both"/>
        <w:rPr>
          <w:rFonts w:eastAsia="Calibri" w:cs="Arial"/>
          <w:b/>
          <w:bCs/>
          <w:i/>
          <w:iCs/>
          <w:szCs w:val="24"/>
          <w:lang w:val="en-US" w:bidi="fa-IR"/>
        </w:rPr>
      </w:pPr>
    </w:p>
    <w:p w14:paraId="5B81956D" w14:textId="3D4124FF" w:rsidR="00EB34AD" w:rsidRDefault="00EB34AD" w:rsidP="00EB34AD">
      <w:pPr>
        <w:spacing w:line="480" w:lineRule="auto"/>
        <w:jc w:val="both"/>
        <w:rPr>
          <w:rFonts w:eastAsia="Calibri" w:cs="Arial"/>
          <w:b/>
          <w:bCs/>
          <w:i/>
          <w:iCs/>
          <w:szCs w:val="24"/>
          <w:lang w:val="en-US" w:bidi="fa-IR"/>
        </w:rPr>
      </w:pPr>
      <w:r>
        <w:rPr>
          <w:rFonts w:eastAsia="Calibri" w:cs="Arial"/>
          <w:b/>
          <w:bCs/>
          <w:i/>
          <w:iCs/>
          <w:szCs w:val="24"/>
          <w:lang w:val="en-US" w:bidi="fa-IR"/>
        </w:rPr>
        <w:t>Alliance Governance Structure</w:t>
      </w:r>
      <w:r w:rsidRPr="00594F2B">
        <w:rPr>
          <w:rFonts w:eastAsia="Calibri" w:cs="Arial"/>
          <w:b/>
          <w:bCs/>
          <w:i/>
          <w:iCs/>
          <w:szCs w:val="24"/>
          <w:lang w:val="en-US" w:bidi="fa-IR"/>
        </w:rPr>
        <w:t xml:space="preserve"> as a moderator for depth, breadth, and financial capital</w:t>
      </w:r>
    </w:p>
    <w:p w14:paraId="73AA5ECF" w14:textId="630BE4BC" w:rsidR="0017580D" w:rsidRDefault="00EB34AD" w:rsidP="008C423A">
      <w:pPr>
        <w:spacing w:line="480" w:lineRule="auto"/>
        <w:jc w:val="both"/>
        <w:rPr>
          <w:rFonts w:eastAsia="Calibri" w:cs="Arial"/>
          <w:szCs w:val="24"/>
          <w:lang w:val="en-US" w:bidi="fa-IR"/>
        </w:rPr>
      </w:pPr>
      <w:r>
        <w:rPr>
          <w:rFonts w:eastAsia="Calibri" w:cs="Arial"/>
          <w:szCs w:val="24"/>
          <w:lang w:val="en-US" w:bidi="fa-IR"/>
        </w:rPr>
        <w:t xml:space="preserve">The governance structure of an alliance stipulates the financial aspects of the relationship (which company will pay what, to whom, when, </w:t>
      </w:r>
      <w:proofErr w:type="spellStart"/>
      <w:r>
        <w:rPr>
          <w:rFonts w:eastAsia="Calibri" w:cs="Arial"/>
          <w:szCs w:val="24"/>
          <w:lang w:val="en-US" w:bidi="fa-IR"/>
        </w:rPr>
        <w:t>etc</w:t>
      </w:r>
      <w:proofErr w:type="spellEnd"/>
      <w:r>
        <w:rPr>
          <w:rFonts w:eastAsia="Calibri" w:cs="Arial"/>
          <w:szCs w:val="24"/>
          <w:lang w:val="en-US" w:bidi="fa-IR"/>
        </w:rPr>
        <w:t>). It also articulates the intellectual property rights of each partner and specifies where the controlling power of the alliance lies</w:t>
      </w:r>
      <w:r w:rsidR="00207DE0">
        <w:rPr>
          <w:rFonts w:eastAsia="Calibri" w:cs="Arial"/>
          <w:szCs w:val="24"/>
          <w:lang w:val="en-US" w:bidi="fa-IR"/>
        </w:rPr>
        <w:t xml:space="preserve"> </w:t>
      </w:r>
      <w:r w:rsidR="00207DE0">
        <w:rPr>
          <w:rFonts w:eastAsia="Calibri" w:cs="Arial"/>
          <w:szCs w:val="24"/>
          <w:lang w:val="en-US" w:bidi="fa-IR"/>
        </w:rPr>
        <w:fldChar w:fldCharType="begin" w:fldLock="1"/>
      </w:r>
      <w:r w:rsidR="00207DE0">
        <w:rPr>
          <w:rFonts w:eastAsia="Calibri" w:cs="Arial"/>
          <w:szCs w:val="24"/>
          <w:lang w:val="en-US" w:bidi="fa-IR"/>
        </w:rPr>
        <w:instrText>ADDIN CSL_CITATION { "citationItems" : [ { "id" : "ITEM-1", "itemData" : { "author" : [ { "dropping-particle" : "", "family" : "Bierly III", "given" : "Paul E", "non-dropping-particle" : "", "parse-names" : false, "suffix" : "" }, { "dropping-particle" : "", "family" : "Coombs", "given" : "Joseph E", "non-dropping-particle" : "", "parse-names" : false, "suffix" : "" } ], "container-title" : "Journal of Engineering and Technology Management", "id" : "ITEM-1", "issue" : "3", "issued" : { "date-parts" : [ [ "2004" ] ] }, "page" : "191-214", "publisher" : "Elsevier", "title" : "Equity alliances, stages of product development, and alliance instability", "type" : "article-journal", "volume" : "21" }, "uris" : [ "http://www.mendeley.com/documents/?uuid=34e0099c-53d0-47e4-9a34-9aa26d494b35" ] } ], "mendeley" : { "formattedCitation" : "(Bierly III &amp; Coombs, 2004)", "manualFormatting" : "(Bierly &amp; Coombs, 2004)", "plainTextFormattedCitation" : "(Bierly III &amp; Coombs, 2004)", "previouslyFormattedCitation" : "(Bierly III &amp; Coombs, 2004)" }, "properties" : {  }, "schema" : "https://github.com/citation-style-language/schema/raw/master/csl-citation.json" }</w:instrText>
      </w:r>
      <w:r w:rsidR="00207DE0">
        <w:rPr>
          <w:rFonts w:eastAsia="Calibri" w:cs="Arial"/>
          <w:szCs w:val="24"/>
          <w:lang w:val="en-US" w:bidi="fa-IR"/>
        </w:rPr>
        <w:fldChar w:fldCharType="separate"/>
      </w:r>
      <w:r w:rsidR="00207DE0" w:rsidRPr="00207DE0">
        <w:rPr>
          <w:rFonts w:eastAsia="Calibri" w:cs="Arial"/>
          <w:noProof/>
          <w:szCs w:val="24"/>
          <w:lang w:val="en-US" w:bidi="fa-IR"/>
        </w:rPr>
        <w:t>(Bierly &amp; Coombs, 2004)</w:t>
      </w:r>
      <w:r w:rsidR="00207DE0">
        <w:rPr>
          <w:rFonts w:eastAsia="Calibri" w:cs="Arial"/>
          <w:szCs w:val="24"/>
          <w:lang w:val="en-US" w:bidi="fa-IR"/>
        </w:rPr>
        <w:fldChar w:fldCharType="end"/>
      </w:r>
      <w:r w:rsidR="00207DE0">
        <w:rPr>
          <w:rFonts w:eastAsia="Calibri" w:cs="Arial"/>
          <w:szCs w:val="24"/>
          <w:lang w:val="en-US" w:bidi="fa-IR"/>
        </w:rPr>
        <w:t>. Two very broad categories are equity or non-</w:t>
      </w:r>
      <w:proofErr w:type="gramStart"/>
      <w:r w:rsidR="00207DE0">
        <w:rPr>
          <w:rFonts w:eastAsia="Calibri" w:cs="Arial"/>
          <w:szCs w:val="24"/>
          <w:lang w:val="en-US" w:bidi="fa-IR"/>
        </w:rPr>
        <w:t>equity based</w:t>
      </w:r>
      <w:proofErr w:type="gramEnd"/>
      <w:r w:rsidR="00207DE0">
        <w:rPr>
          <w:rFonts w:eastAsia="Calibri" w:cs="Arial"/>
          <w:szCs w:val="24"/>
          <w:lang w:val="en-US" w:bidi="fa-IR"/>
        </w:rPr>
        <w:t xml:space="preserve"> relationships. An equity governance structure is when an alliance agreement includes the placement of private </w:t>
      </w:r>
      <w:r w:rsidR="00207DE0">
        <w:rPr>
          <w:rFonts w:eastAsia="Calibri" w:cs="Arial"/>
          <w:szCs w:val="24"/>
          <w:lang w:val="en-US" w:bidi="fa-IR"/>
        </w:rPr>
        <w:lastRenderedPageBreak/>
        <w:t xml:space="preserve">equity by one firm into another based on the needs and interests of both parties </w:t>
      </w:r>
      <w:r w:rsidR="00207DE0">
        <w:rPr>
          <w:rFonts w:eastAsia="Calibri" w:cs="Arial"/>
          <w:szCs w:val="24"/>
          <w:lang w:val="en-US" w:bidi="fa-IR"/>
        </w:rPr>
        <w:fldChar w:fldCharType="begin" w:fldLock="1"/>
      </w:r>
      <w:r w:rsidR="00207DE0">
        <w:rPr>
          <w:rFonts w:eastAsia="Calibri" w:cs="Arial"/>
          <w:szCs w:val="24"/>
          <w:lang w:val="en-US" w:bidi="fa-IR"/>
        </w:rPr>
        <w:instrText>ADDIN CSL_CITATION { "citationItems" : [ { "id" : "ITEM-1", "itemData" : { "author" : [ { "dropping-particle" : "", "family" : "Janney", "given" : "JJ", "non-dropping-particle" : "", "parse-names" : false, "suffix" : "" }, { "dropping-particle" : "", "family" : "Venturing", "given" : "TB Folta - Journal of Business", "non-dropping-particle" : "", "parse-names" : false, "suffix" : "" }, { "dropping-particle" : "", "family" : "2006", "given" : "undefined", "non-dropping-particle" : "", "parse-names" : false, "suffix" : "" } ], "container-title" : "Elsevier", "id" : "ITEM-1", "issued" : { "date-parts" : [ [ "0" ] ] }, "title" : "Moderating effects of investor experience on the signaling value of private equity placements", "type" : "article-journal" }, "uris" : [ "http://www.mendeley.com/documents/?uuid=941bef53-aacc-31e1-b834-83ac4e8ed6a5" ] } ], "mendeley" : { "formattedCitation" : "(Janney, Venturing, &amp; 2006, n.d.)", "manualFormatting" : "(Janney &amp; Folta, 2006)", "plainTextFormattedCitation" : "(Janney, Venturing, &amp; 2006, n.d.)", "previouslyFormattedCitation" : "(Janney, Venturing, &amp; 2006, n.d.)" }, "properties" : {  }, "schema" : "https://github.com/citation-style-language/schema/raw/master/csl-citation.json" }</w:instrText>
      </w:r>
      <w:r w:rsidR="00207DE0">
        <w:rPr>
          <w:rFonts w:eastAsia="Calibri" w:cs="Arial"/>
          <w:szCs w:val="24"/>
          <w:lang w:val="en-US" w:bidi="fa-IR"/>
        </w:rPr>
        <w:fldChar w:fldCharType="separate"/>
      </w:r>
      <w:r w:rsidR="00207DE0" w:rsidRPr="00207DE0">
        <w:rPr>
          <w:rFonts w:eastAsia="Calibri" w:cs="Arial"/>
          <w:noProof/>
          <w:szCs w:val="24"/>
          <w:lang w:val="en-US" w:bidi="fa-IR"/>
        </w:rPr>
        <w:t>(Janney &amp;</w:t>
      </w:r>
      <w:r w:rsidR="00207DE0">
        <w:rPr>
          <w:rFonts w:eastAsia="Calibri" w:cs="Arial"/>
          <w:noProof/>
          <w:szCs w:val="24"/>
          <w:lang w:val="en-US" w:bidi="fa-IR"/>
        </w:rPr>
        <w:t xml:space="preserve"> Folta, 2006</w:t>
      </w:r>
      <w:r w:rsidR="00207DE0" w:rsidRPr="00207DE0">
        <w:rPr>
          <w:rFonts w:eastAsia="Calibri" w:cs="Arial"/>
          <w:noProof/>
          <w:szCs w:val="24"/>
          <w:lang w:val="en-US" w:bidi="fa-IR"/>
        </w:rPr>
        <w:t>)</w:t>
      </w:r>
      <w:r w:rsidR="00207DE0">
        <w:rPr>
          <w:rFonts w:eastAsia="Calibri" w:cs="Arial"/>
          <w:szCs w:val="24"/>
          <w:lang w:val="en-US" w:bidi="fa-IR"/>
        </w:rPr>
        <w:fldChar w:fldCharType="end"/>
      </w:r>
      <w:r w:rsidR="00207DE0">
        <w:rPr>
          <w:rFonts w:eastAsia="Calibri" w:cs="Arial"/>
          <w:szCs w:val="24"/>
          <w:lang w:val="en-US" w:bidi="fa-IR"/>
        </w:rPr>
        <w:t>. While equity-based alliances encompass a wide range of possibilities</w:t>
      </w:r>
      <w:r w:rsidR="0017580D">
        <w:rPr>
          <w:rFonts w:eastAsia="Calibri" w:cs="Arial"/>
          <w:szCs w:val="24"/>
          <w:lang w:val="en-US" w:bidi="fa-IR"/>
        </w:rPr>
        <w:t xml:space="preserve">, they all have a financial aspect in common: The profit made from the success of a firm will be proportional to the amount of equity the firm owns. Therefore, when a biotech firm sells equity to a pharma partner, they are actually selling away the right of access to future profits. </w:t>
      </w:r>
    </w:p>
    <w:p w14:paraId="1B76CBE6" w14:textId="77777777" w:rsidR="00BA70D6" w:rsidRDefault="0017580D" w:rsidP="00BA70D6">
      <w:pPr>
        <w:spacing w:line="480" w:lineRule="auto"/>
        <w:jc w:val="both"/>
        <w:rPr>
          <w:rFonts w:eastAsia="Calibri" w:cs="Arial"/>
          <w:szCs w:val="24"/>
          <w:lang w:val="en-US" w:bidi="fa-IR"/>
        </w:rPr>
      </w:pPr>
      <w:r>
        <w:rPr>
          <w:rFonts w:eastAsia="Calibri" w:cs="Arial"/>
          <w:szCs w:val="24"/>
          <w:lang w:val="en-US" w:bidi="fa-IR"/>
        </w:rPr>
        <w:t xml:space="preserve">Based on the above, it is reasonable to expect that an equity-based biopharma alliance will involve higher amounts of financial capital provided by the pharma company: The financier is given gained more control over the </w:t>
      </w:r>
      <w:proofErr w:type="gramStart"/>
      <w:r>
        <w:rPr>
          <w:rFonts w:eastAsia="Calibri" w:cs="Arial"/>
          <w:szCs w:val="24"/>
          <w:lang w:val="en-US" w:bidi="fa-IR"/>
        </w:rPr>
        <w:t>alliance, and</w:t>
      </w:r>
      <w:proofErr w:type="gramEnd"/>
      <w:r>
        <w:rPr>
          <w:rFonts w:eastAsia="Calibri" w:cs="Arial"/>
          <w:szCs w:val="24"/>
          <w:lang w:val="en-US" w:bidi="fa-IR"/>
        </w:rPr>
        <w:t xml:space="preserve"> will be given a specified share of future profits. </w:t>
      </w:r>
    </w:p>
    <w:p w14:paraId="18B895AE" w14:textId="2B6AE808" w:rsidR="0017580D" w:rsidRDefault="0017580D" w:rsidP="00600C8C">
      <w:pPr>
        <w:spacing w:line="480" w:lineRule="auto"/>
        <w:jc w:val="both"/>
        <w:rPr>
          <w:rFonts w:eastAsia="Calibri" w:cs="Arial"/>
          <w:szCs w:val="24"/>
          <w:lang w:val="en-US" w:bidi="fa-IR"/>
        </w:rPr>
      </w:pPr>
      <w:r>
        <w:rPr>
          <w:rFonts w:eastAsia="Calibri" w:cs="Arial"/>
          <w:szCs w:val="24"/>
          <w:lang w:val="en-US" w:bidi="fa-IR"/>
        </w:rPr>
        <w:t xml:space="preserve">Earlier research shows that equity-based alliances mitigate the problems associated with opportunism and information asymmetry </w:t>
      </w:r>
      <w:r>
        <w:rPr>
          <w:rFonts w:eastAsia="Calibri" w:cs="Arial"/>
          <w:szCs w:val="24"/>
          <w:lang w:val="en-US" w:bidi="fa-IR"/>
        </w:rPr>
        <w:fldChar w:fldCharType="begin" w:fldLock="1"/>
      </w:r>
      <w:r>
        <w:rPr>
          <w:rFonts w:eastAsia="Calibri" w:cs="Arial"/>
          <w:szCs w:val="24"/>
          <w:lang w:val="en-US" w:bidi="fa-IR"/>
        </w:rPr>
        <w:instrText>ADDIN CSL_CITATION { "citationItems" : [ { "id" : "ITEM-1", "itemData" : { "DOI" : "10.2307/2393616", "ISSN" : "00018392", "abstract" : "This study examines why firms choose different governance structures across their alliances. We focus on the coordination costs in alliances that arise from interdependence of tasks across organizational boundaries and the related complexity of ongoing activities to be completed jointly or individually. We use a typology of alliance governance structures that differentiates structures by the magnitude of hierarchical controls to test hypotheses predicting alternative contractual choices. We use empirical data on alliance announcements in three worldwide industries over a 20-year period to assess which factors explain the choice of alliance types. The findings suggest that the magnitude of hierarchical controls in contractual relationships such as alliances is influenced by the anticipated coordination costs and by expected appropriation concerns.", "author" : [ { "dropping-particle" : "", "family" : "Gulati", "given" : "Ranjay", "non-dropping-particle" : "", "parse-names" : false, "suffix" : "" }, { "dropping-particle" : "", "family" : "Singh", "given" : "Harbir", "non-dropping-particle" : "", "parse-names" : false, "suffix" : "" } ], "container-title" : "Administrative Science Quarterly", "id" : "ITEM-1", "issue" : "4", "issued" : { "date-parts" : [ [ "1998", "12" ] ] }, "page" : "781", "publisher" : "Sage Publications, Inc.Johnson Graduate School of Management, Cornell University", "title" : "The Architecture of Cooperation: Managing Coordination Costs and Appropriation Concerns in Strategic Alliances", "type" : "article-journal", "volume" : "43" }, "uris" : [ "http://www.mendeley.com/documents/?uuid=d3532dd3-77dc-3acd-b0f6-1d00c9916d43" ] } ], "mendeley" : { "formattedCitation" : "(Gulati &amp; Singh, 1998)", "plainTextFormattedCitation" : "(Gulati &amp; Singh, 1998)", "previouslyFormattedCitation" : "(Gulati &amp; Singh, 1998)" }, "properties" : {  }, "schema" : "https://github.com/citation-style-language/schema/raw/master/csl-citation.json" }</w:instrText>
      </w:r>
      <w:r>
        <w:rPr>
          <w:rFonts w:eastAsia="Calibri" w:cs="Arial"/>
          <w:szCs w:val="24"/>
          <w:lang w:val="en-US" w:bidi="fa-IR"/>
        </w:rPr>
        <w:fldChar w:fldCharType="separate"/>
      </w:r>
      <w:r w:rsidRPr="0017580D">
        <w:rPr>
          <w:rFonts w:eastAsia="Calibri" w:cs="Arial"/>
          <w:noProof/>
          <w:szCs w:val="24"/>
          <w:lang w:val="en-US" w:bidi="fa-IR"/>
        </w:rPr>
        <w:t>(Gulati &amp; Singh, 1998)</w:t>
      </w:r>
      <w:r>
        <w:rPr>
          <w:rFonts w:eastAsia="Calibri" w:cs="Arial"/>
          <w:szCs w:val="24"/>
          <w:lang w:val="en-US" w:bidi="fa-IR"/>
        </w:rPr>
        <w:fldChar w:fldCharType="end"/>
      </w:r>
      <w:r>
        <w:rPr>
          <w:rFonts w:eastAsia="Calibri" w:cs="Arial"/>
          <w:szCs w:val="24"/>
          <w:lang w:val="en-US" w:bidi="fa-IR"/>
        </w:rPr>
        <w:t xml:space="preserve">. </w:t>
      </w:r>
      <w:r w:rsidR="00BA70D6">
        <w:rPr>
          <w:rFonts w:eastAsia="Calibri" w:cs="Arial"/>
          <w:szCs w:val="24"/>
          <w:lang w:val="en-US" w:bidi="fa-IR"/>
        </w:rPr>
        <w:t xml:space="preserve">More hierarchical relationships, such as equity alliances, protect a firm from partner’s opportunism and </w:t>
      </w:r>
      <w:r w:rsidR="007F2F85">
        <w:rPr>
          <w:rFonts w:eastAsia="Calibri" w:cs="Arial"/>
          <w:szCs w:val="24"/>
          <w:lang w:val="en-US" w:bidi="fa-IR"/>
        </w:rPr>
        <w:t>it “opens up the possibility of new inter-firm cooperative arrangements”</w:t>
      </w:r>
      <w:r w:rsidR="007F2F85">
        <w:rPr>
          <w:rFonts w:eastAsia="Calibri" w:cs="Arial"/>
          <w:szCs w:val="24"/>
          <w:lang w:val="en-US" w:bidi="fa-IR"/>
        </w:rPr>
        <w:fldChar w:fldCharType="begin" w:fldLock="1"/>
      </w:r>
      <w:r w:rsidR="007F2F85">
        <w:rPr>
          <w:rFonts w:eastAsia="Calibri" w:cs="Arial"/>
          <w:szCs w:val="24"/>
          <w:lang w:val="en-US" w:bidi="fa-IR"/>
        </w:rPr>
        <w:instrText>ADDIN CSL_CITATION { "citationItems" : [ { "id" : "ITEM-1", "itemData" : { "DOI" : "10.2307/2393756", "ISSN" : "00018392", "abstract" : "This study explores how social structure affects interfirm alliance formation patterns. It proposes that the social context emerging from prior alliances and considerations of strategic interdependence influence partnership decisions between firms. This social network facilitates new alliances by providing valuable information to firms about the specific capabilities and reliability of potential partners. The role of both direct ties between firms and their overall networks were examined with comprehensive longitudinal multi-industry data on the formation of interfirm strategic alliances between 1970 and 1989. Results are consistent with both strategic interdependence and social structural explanations of alliance formation. Support for the interaction of the two sets of factors also emerged. The implications of incorporating both sets of explanations for the formation of interorganizational ties are discussed.", "author" : [ { "dropping-particle" : "", "family" : "Gulati", "given" : "Ranjay", "non-dropping-particle" : "", "parse-names" : false, "suffix" : "" } ], "container-title" : "Administrative Science Quarterly", "id" : "ITEM-1", "issue" : "4", "issued" : { "date-parts" : [ [ "1995", "12" ] ] }, "page" : "619", "publisher" : "Sage Publications, Inc.Johnson Graduate School of Management, Cornell University", "title" : "Social Structure and Alliance Formation Patterns: A Longitudinal Analysis", "type" : "article-journal", "volume" : "40" }, "uris" : [ "http://www.mendeley.com/documents/?uuid=0ea2bfd8-459c-3e35-a559-169f0340165f" ] } ], "mendeley" : { "formattedCitation" : "(Gulati, 1995)", "plainTextFormattedCitation" : "(Gulati, 1995)", "previouslyFormattedCitation" : "(Gulati, 1995)" }, "properties" : {  }, "schema" : "https://github.com/citation-style-language/schema/raw/master/csl-citation.json" }</w:instrText>
      </w:r>
      <w:r w:rsidR="007F2F85">
        <w:rPr>
          <w:rFonts w:eastAsia="Calibri" w:cs="Arial"/>
          <w:szCs w:val="24"/>
          <w:lang w:val="en-US" w:bidi="fa-IR"/>
        </w:rPr>
        <w:fldChar w:fldCharType="separate"/>
      </w:r>
      <w:r w:rsidR="007F2F85" w:rsidRPr="007F2F85">
        <w:rPr>
          <w:rFonts w:eastAsia="Calibri" w:cs="Arial"/>
          <w:noProof/>
          <w:szCs w:val="24"/>
          <w:lang w:val="en-US" w:bidi="fa-IR"/>
        </w:rPr>
        <w:t>(Gulati, 1995)</w:t>
      </w:r>
      <w:r w:rsidR="007F2F85">
        <w:rPr>
          <w:rFonts w:eastAsia="Calibri" w:cs="Arial"/>
          <w:szCs w:val="24"/>
          <w:lang w:val="en-US" w:bidi="fa-IR"/>
        </w:rPr>
        <w:fldChar w:fldCharType="end"/>
      </w:r>
      <w:r w:rsidR="007F2F85">
        <w:rPr>
          <w:rFonts w:eastAsia="Calibri" w:cs="Arial"/>
          <w:szCs w:val="24"/>
          <w:lang w:val="en-US" w:bidi="fa-IR"/>
        </w:rPr>
        <w:t xml:space="preserve">. </w:t>
      </w:r>
      <w:r>
        <w:rPr>
          <w:rFonts w:eastAsia="Calibri" w:cs="Arial"/>
          <w:szCs w:val="24"/>
          <w:lang w:val="en-US" w:bidi="fa-IR"/>
        </w:rPr>
        <w:t xml:space="preserve">Therefore, we would expect that from the point of view of the pharma </w:t>
      </w:r>
      <w:r w:rsidR="007F2F85">
        <w:rPr>
          <w:rFonts w:eastAsia="Calibri" w:cs="Arial"/>
          <w:szCs w:val="24"/>
          <w:lang w:val="en-US" w:bidi="fa-IR"/>
        </w:rPr>
        <w:t>firm</w:t>
      </w:r>
      <w:r w:rsidR="00BA70D6">
        <w:rPr>
          <w:rFonts w:eastAsia="Calibri" w:cs="Arial"/>
          <w:szCs w:val="24"/>
          <w:lang w:val="en-US" w:bidi="fa-IR"/>
        </w:rPr>
        <w:t xml:space="preserve"> with equity stake in a biotech </w:t>
      </w:r>
      <w:r w:rsidR="007F2F85">
        <w:rPr>
          <w:rFonts w:eastAsia="Calibri" w:cs="Arial"/>
          <w:szCs w:val="24"/>
          <w:lang w:val="en-US" w:bidi="fa-IR"/>
        </w:rPr>
        <w:t>partner</w:t>
      </w:r>
      <w:r>
        <w:rPr>
          <w:rFonts w:eastAsia="Calibri" w:cs="Arial"/>
          <w:szCs w:val="24"/>
          <w:lang w:val="en-US" w:bidi="fa-IR"/>
        </w:rPr>
        <w:t xml:space="preserve">, </w:t>
      </w:r>
      <w:r w:rsidR="00BA70D6">
        <w:rPr>
          <w:rFonts w:eastAsia="Calibri" w:cs="Arial"/>
          <w:szCs w:val="24"/>
          <w:lang w:val="en-US" w:bidi="fa-IR"/>
        </w:rPr>
        <w:t>technological breadth would</w:t>
      </w:r>
      <w:r>
        <w:rPr>
          <w:rFonts w:eastAsia="Calibri" w:cs="Arial"/>
          <w:szCs w:val="24"/>
          <w:lang w:val="en-US" w:bidi="fa-IR"/>
        </w:rPr>
        <w:t xml:space="preserve"> </w:t>
      </w:r>
      <w:r w:rsidR="00BA70D6">
        <w:rPr>
          <w:rFonts w:eastAsia="Calibri" w:cs="Arial"/>
          <w:szCs w:val="24"/>
          <w:lang w:val="en-US" w:bidi="fa-IR"/>
        </w:rPr>
        <w:t xml:space="preserve">not </w:t>
      </w:r>
      <w:r>
        <w:rPr>
          <w:rFonts w:eastAsia="Calibri" w:cs="Arial"/>
          <w:szCs w:val="24"/>
          <w:lang w:val="en-US" w:bidi="fa-IR"/>
        </w:rPr>
        <w:t xml:space="preserve">imply </w:t>
      </w:r>
      <w:r w:rsidR="00BA70D6">
        <w:rPr>
          <w:rFonts w:eastAsia="Calibri" w:cs="Arial"/>
          <w:szCs w:val="24"/>
          <w:lang w:val="en-US" w:bidi="fa-IR"/>
        </w:rPr>
        <w:t>a</w:t>
      </w:r>
      <w:r w:rsidR="007F2F85">
        <w:rPr>
          <w:rFonts w:eastAsia="Calibri" w:cs="Arial"/>
          <w:szCs w:val="24"/>
          <w:lang w:val="en-US" w:bidi="fa-IR"/>
        </w:rPr>
        <w:t xml:space="preserve"> moral</w:t>
      </w:r>
      <w:r w:rsidR="00BA70D6">
        <w:rPr>
          <w:rFonts w:eastAsia="Calibri" w:cs="Arial"/>
          <w:szCs w:val="24"/>
          <w:lang w:val="en-US" w:bidi="fa-IR"/>
        </w:rPr>
        <w:t xml:space="preserve"> hazard or possibility for opportunism, and hence the negative relationship between technological breadth and financial contribution of the pharma partner </w:t>
      </w:r>
      <w:r w:rsidR="007F2F85">
        <w:rPr>
          <w:rFonts w:eastAsia="Calibri" w:cs="Arial"/>
          <w:szCs w:val="24"/>
          <w:lang w:val="en-US" w:bidi="fa-IR"/>
        </w:rPr>
        <w:t>is expected to</w:t>
      </w:r>
      <w:r w:rsidR="00BA70D6">
        <w:rPr>
          <w:rFonts w:eastAsia="Calibri" w:cs="Arial"/>
          <w:szCs w:val="24"/>
          <w:lang w:val="en-US" w:bidi="fa-IR"/>
        </w:rPr>
        <w:t xml:space="preserve"> be weakened. In the same line, while a biotech firm’s technological depth is particularly appealing, in an equity-based relationship the pharma partner should be willing to invest more </w:t>
      </w:r>
      <w:r w:rsidR="007F2F85">
        <w:rPr>
          <w:rFonts w:eastAsia="Calibri" w:cs="Arial"/>
          <w:szCs w:val="24"/>
          <w:lang w:val="en-US" w:bidi="fa-IR"/>
        </w:rPr>
        <w:t>because</w:t>
      </w:r>
      <w:r w:rsidR="00BA70D6">
        <w:rPr>
          <w:rFonts w:eastAsia="Calibri" w:cs="Arial"/>
          <w:szCs w:val="24"/>
          <w:lang w:val="en-US" w:bidi="fa-IR"/>
        </w:rPr>
        <w:t xml:space="preserve"> it </w:t>
      </w:r>
      <w:r w:rsidR="007F2F85">
        <w:rPr>
          <w:rFonts w:eastAsia="Calibri" w:cs="Arial"/>
          <w:szCs w:val="24"/>
          <w:lang w:val="en-US" w:bidi="fa-IR"/>
        </w:rPr>
        <w:t xml:space="preserve">is given </w:t>
      </w:r>
      <w:r w:rsidR="00BA70D6">
        <w:rPr>
          <w:rFonts w:eastAsia="Calibri" w:cs="Arial"/>
          <w:szCs w:val="24"/>
          <w:lang w:val="en-US" w:bidi="fa-IR"/>
        </w:rPr>
        <w:t xml:space="preserve">more control over the whole </w:t>
      </w:r>
      <w:r w:rsidR="007F2F85">
        <w:rPr>
          <w:rFonts w:eastAsia="Calibri" w:cs="Arial"/>
          <w:szCs w:val="24"/>
          <w:lang w:val="en-US" w:bidi="fa-IR"/>
        </w:rPr>
        <w:t>project</w:t>
      </w:r>
      <w:r w:rsidR="00BA70D6">
        <w:rPr>
          <w:rFonts w:eastAsia="Calibri" w:cs="Arial"/>
          <w:szCs w:val="24"/>
          <w:lang w:val="en-US" w:bidi="fa-IR"/>
        </w:rPr>
        <w:t>. Therefore:</w:t>
      </w:r>
    </w:p>
    <w:p w14:paraId="1B40AE98" w14:textId="26740350" w:rsidR="00BA70D6" w:rsidRPr="00594F2B" w:rsidRDefault="00BA70D6" w:rsidP="007F2F85">
      <w:pPr>
        <w:spacing w:after="160" w:line="480" w:lineRule="auto"/>
        <w:jc w:val="both"/>
        <w:rPr>
          <w:rFonts w:eastAsia="Calibri" w:cs="Arial"/>
          <w:i/>
          <w:iCs/>
          <w:szCs w:val="24"/>
          <w:lang w:val="en-US" w:eastAsia="en-US" w:bidi="fa-IR"/>
        </w:rPr>
      </w:pPr>
      <w:r w:rsidRPr="00594F2B">
        <w:rPr>
          <w:rFonts w:eastAsia="Calibri" w:cs="Arial"/>
          <w:b/>
          <w:bCs/>
          <w:i/>
          <w:iCs/>
          <w:szCs w:val="24"/>
          <w:lang w:val="en-US" w:eastAsia="en-US" w:bidi="fa-IR"/>
        </w:rPr>
        <w:t xml:space="preserve">Hypothesis </w:t>
      </w:r>
      <w:r w:rsidR="007F2F85">
        <w:rPr>
          <w:rFonts w:eastAsia="Calibri" w:cs="Arial"/>
          <w:b/>
          <w:bCs/>
          <w:i/>
          <w:iCs/>
          <w:szCs w:val="24"/>
          <w:lang w:val="en-US" w:eastAsia="en-US" w:bidi="fa-IR"/>
        </w:rPr>
        <w:t>4</w:t>
      </w:r>
      <w:r w:rsidRPr="00594F2B">
        <w:rPr>
          <w:rFonts w:eastAsia="Calibri" w:cs="Arial"/>
          <w:b/>
          <w:bCs/>
          <w:i/>
          <w:iCs/>
          <w:szCs w:val="24"/>
          <w:lang w:val="en-US" w:eastAsia="en-US" w:bidi="fa-IR"/>
        </w:rPr>
        <w:t xml:space="preserve">a: </w:t>
      </w:r>
      <w:r w:rsidRPr="00594F2B">
        <w:rPr>
          <w:rFonts w:eastAsia="Calibri" w:cs="Arial"/>
          <w:i/>
          <w:iCs/>
          <w:szCs w:val="24"/>
          <w:lang w:val="en-US" w:eastAsia="en-US" w:bidi="fa-IR"/>
        </w:rPr>
        <w:t xml:space="preserve">In biotech-pharma alliances, the </w:t>
      </w:r>
      <w:r w:rsidRPr="00594F2B">
        <w:rPr>
          <w:rFonts w:eastAsia="Calibri" w:cs="Arial"/>
          <w:i/>
          <w:iCs/>
          <w:szCs w:val="24"/>
          <w:u w:val="single"/>
          <w:lang w:val="en-US" w:eastAsia="en-US" w:bidi="fa-IR"/>
        </w:rPr>
        <w:t>positive</w:t>
      </w:r>
      <w:r w:rsidRPr="00594F2B">
        <w:rPr>
          <w:rFonts w:eastAsia="Calibri" w:cs="Arial"/>
          <w:i/>
          <w:iCs/>
          <w:szCs w:val="24"/>
          <w:lang w:val="en-US" w:eastAsia="en-US" w:bidi="fa-IR"/>
        </w:rPr>
        <w:t xml:space="preserve"> relationship between depth of technological resources of the biotech firm and the financial capital it receives from the pharma partner is </w:t>
      </w:r>
      <w:r>
        <w:rPr>
          <w:rFonts w:eastAsia="Calibri" w:cs="Arial"/>
          <w:i/>
          <w:iCs/>
          <w:szCs w:val="24"/>
          <w:u w:val="single"/>
          <w:lang w:val="en-US" w:eastAsia="en-US" w:bidi="fa-IR"/>
        </w:rPr>
        <w:t>stronger</w:t>
      </w:r>
      <w:r w:rsidRPr="00594F2B">
        <w:rPr>
          <w:rFonts w:eastAsia="Calibri" w:cs="Arial"/>
          <w:i/>
          <w:iCs/>
          <w:szCs w:val="24"/>
          <w:lang w:val="en-US" w:eastAsia="en-US" w:bidi="fa-IR"/>
        </w:rPr>
        <w:t xml:space="preserve"> </w:t>
      </w:r>
      <w:r>
        <w:rPr>
          <w:rFonts w:eastAsia="Calibri" w:cs="Arial"/>
          <w:i/>
          <w:iCs/>
          <w:szCs w:val="24"/>
          <w:lang w:val="en-US" w:eastAsia="en-US" w:bidi="fa-IR"/>
        </w:rPr>
        <w:t>when the alliance is governed by an equity-based structure.</w:t>
      </w:r>
    </w:p>
    <w:p w14:paraId="40FA404D" w14:textId="1ADF63DA" w:rsidR="00EB34AD" w:rsidRPr="00594F2B" w:rsidRDefault="00BA70D6" w:rsidP="00096B45">
      <w:pPr>
        <w:spacing w:after="160" w:line="480" w:lineRule="auto"/>
        <w:jc w:val="both"/>
        <w:rPr>
          <w:rFonts w:eastAsia="Calibri"/>
          <w:i/>
          <w:iCs/>
          <w:szCs w:val="24"/>
          <w:lang w:val="en-US" w:eastAsia="en-US" w:bidi="fa-IR"/>
        </w:rPr>
      </w:pPr>
      <w:r w:rsidRPr="00594F2B">
        <w:rPr>
          <w:rFonts w:eastAsia="Calibri"/>
          <w:b/>
          <w:bCs/>
          <w:i/>
          <w:iCs/>
          <w:szCs w:val="24"/>
          <w:lang w:val="en-US" w:eastAsia="en-US" w:bidi="fa-IR"/>
        </w:rPr>
        <w:t xml:space="preserve">Hypothesis </w:t>
      </w:r>
      <w:r w:rsidR="007F2F85">
        <w:rPr>
          <w:rFonts w:eastAsia="Calibri"/>
          <w:b/>
          <w:bCs/>
          <w:i/>
          <w:iCs/>
          <w:szCs w:val="24"/>
          <w:lang w:val="en-US" w:eastAsia="en-US" w:bidi="fa-IR"/>
        </w:rPr>
        <w:t>4</w:t>
      </w:r>
      <w:r w:rsidRPr="00594F2B">
        <w:rPr>
          <w:rFonts w:eastAsia="Calibri"/>
          <w:b/>
          <w:bCs/>
          <w:i/>
          <w:iCs/>
          <w:szCs w:val="24"/>
          <w:lang w:val="en-US" w:eastAsia="en-US" w:bidi="fa-IR"/>
        </w:rPr>
        <w:t xml:space="preserve">b: </w:t>
      </w:r>
      <w:r w:rsidRPr="00594F2B">
        <w:rPr>
          <w:rFonts w:eastAsia="Calibri"/>
          <w:i/>
          <w:iCs/>
          <w:szCs w:val="24"/>
          <w:lang w:val="en-US" w:eastAsia="en-US" w:bidi="fa-IR"/>
        </w:rPr>
        <w:t xml:space="preserve">In biotech-pharma alliances, the </w:t>
      </w:r>
      <w:r w:rsidRPr="00594F2B">
        <w:rPr>
          <w:rFonts w:eastAsia="Calibri"/>
          <w:i/>
          <w:iCs/>
          <w:szCs w:val="24"/>
          <w:u w:val="single"/>
          <w:lang w:val="en-US" w:eastAsia="en-US" w:bidi="fa-IR"/>
        </w:rPr>
        <w:t>negative</w:t>
      </w:r>
      <w:r w:rsidRPr="00594F2B">
        <w:rPr>
          <w:rFonts w:eastAsia="Calibri"/>
          <w:i/>
          <w:iCs/>
          <w:szCs w:val="24"/>
          <w:lang w:val="en-US" w:eastAsia="en-US" w:bidi="fa-IR"/>
        </w:rPr>
        <w:t xml:space="preserve"> relationship between breadth of technological resources of the biotech firm and the financial capital it receives from the pharma partner is </w:t>
      </w:r>
      <w:r>
        <w:rPr>
          <w:rFonts w:eastAsia="Calibri"/>
          <w:i/>
          <w:iCs/>
          <w:szCs w:val="24"/>
          <w:u w:val="single"/>
          <w:lang w:val="en-US" w:eastAsia="en-US" w:bidi="fa-IR"/>
        </w:rPr>
        <w:t>weaker</w:t>
      </w:r>
      <w:r w:rsidRPr="00594F2B">
        <w:rPr>
          <w:rFonts w:eastAsia="Calibri"/>
          <w:i/>
          <w:iCs/>
          <w:szCs w:val="24"/>
          <w:lang w:val="en-US" w:eastAsia="en-US" w:bidi="fa-IR"/>
        </w:rPr>
        <w:t xml:space="preserve"> </w:t>
      </w:r>
      <w:r>
        <w:rPr>
          <w:rFonts w:eastAsia="Calibri"/>
          <w:i/>
          <w:iCs/>
          <w:szCs w:val="24"/>
          <w:lang w:val="en-US" w:eastAsia="en-US" w:bidi="fa-IR"/>
        </w:rPr>
        <w:t xml:space="preserve">when the alliance is governed by an equity-based structure. </w:t>
      </w:r>
    </w:p>
    <w:p w14:paraId="35F556BC" w14:textId="77777777" w:rsidR="00DE5DA9" w:rsidRPr="00096B45" w:rsidRDefault="00DE5DA9" w:rsidP="00096B45">
      <w:pPr>
        <w:spacing w:line="480" w:lineRule="auto"/>
        <w:jc w:val="both"/>
        <w:rPr>
          <w:b/>
          <w:bCs/>
          <w:szCs w:val="24"/>
          <w:lang w:bidi="fa-IR"/>
        </w:rPr>
      </w:pPr>
      <w:r w:rsidRPr="00096B45">
        <w:rPr>
          <w:b/>
          <w:bCs/>
          <w:szCs w:val="24"/>
          <w:lang w:bidi="fa-IR"/>
        </w:rPr>
        <w:lastRenderedPageBreak/>
        <w:t>Research Methods</w:t>
      </w:r>
    </w:p>
    <w:p w14:paraId="7392EC46" w14:textId="77777777" w:rsidR="00096B45" w:rsidRDefault="00DE5DA9" w:rsidP="00096B45">
      <w:pPr>
        <w:pStyle w:val="ListParagraph"/>
        <w:spacing w:line="480" w:lineRule="auto"/>
        <w:ind w:left="0"/>
        <w:jc w:val="both"/>
        <w:rPr>
          <w:b/>
          <w:bCs/>
          <w:i/>
          <w:iCs/>
          <w:szCs w:val="24"/>
          <w:lang w:bidi="fa-IR"/>
        </w:rPr>
      </w:pPr>
      <w:r w:rsidRPr="00096B45">
        <w:rPr>
          <w:b/>
          <w:bCs/>
          <w:i/>
          <w:iCs/>
          <w:szCs w:val="24"/>
          <w:lang w:bidi="fa-IR"/>
        </w:rPr>
        <w:t>Data</w:t>
      </w:r>
    </w:p>
    <w:p w14:paraId="672C8680" w14:textId="47F3EB33" w:rsidR="00DF790A" w:rsidRPr="00096B45" w:rsidRDefault="00446237" w:rsidP="00096B45">
      <w:pPr>
        <w:pStyle w:val="ListParagraph"/>
        <w:spacing w:line="480" w:lineRule="auto"/>
        <w:ind w:left="0"/>
        <w:jc w:val="both"/>
        <w:rPr>
          <w:b/>
          <w:bCs/>
          <w:i/>
          <w:iCs/>
          <w:szCs w:val="24"/>
          <w:lang w:bidi="fa-IR"/>
        </w:rPr>
      </w:pPr>
      <w:r>
        <w:rPr>
          <w:szCs w:val="24"/>
          <w:lang w:bidi="fa-IR"/>
        </w:rPr>
        <w:t xml:space="preserve">Our </w:t>
      </w:r>
      <w:r w:rsidRPr="00446237">
        <w:rPr>
          <w:szCs w:val="24"/>
          <w:lang w:bidi="fa-IR"/>
        </w:rPr>
        <w:t>primary</w:t>
      </w:r>
      <w:r>
        <w:rPr>
          <w:szCs w:val="24"/>
          <w:lang w:bidi="fa-IR"/>
        </w:rPr>
        <w:t xml:space="preserve"> source of data </w:t>
      </w:r>
      <w:proofErr w:type="spellStart"/>
      <w:r>
        <w:rPr>
          <w:szCs w:val="24"/>
          <w:lang w:bidi="fa-IR"/>
        </w:rPr>
        <w:t>was</w:t>
      </w:r>
      <w:proofErr w:type="spellEnd"/>
      <w:r w:rsidR="00600C8C">
        <w:rPr>
          <w:szCs w:val="24"/>
          <w:lang w:bidi="fa-IR"/>
        </w:rPr>
        <w:t xml:space="preserve"> </w:t>
      </w:r>
      <w:r w:rsidR="00DF790A" w:rsidRPr="00DF790A">
        <w:rPr>
          <w:szCs w:val="24"/>
          <w:lang w:bidi="fa-IR"/>
        </w:rPr>
        <w:t xml:space="preserve">the </w:t>
      </w:r>
      <w:proofErr w:type="spellStart"/>
      <w:r w:rsidR="00DF790A">
        <w:rPr>
          <w:szCs w:val="24"/>
          <w:lang w:bidi="fa-IR"/>
        </w:rPr>
        <w:t>Cortellis</w:t>
      </w:r>
      <w:proofErr w:type="spellEnd"/>
      <w:r w:rsidR="00DF790A" w:rsidRPr="00DF790A">
        <w:rPr>
          <w:szCs w:val="24"/>
          <w:lang w:bidi="fa-IR"/>
        </w:rPr>
        <w:t xml:space="preserve"> </w:t>
      </w:r>
      <w:proofErr w:type="spellStart"/>
      <w:r w:rsidR="00DF790A" w:rsidRPr="00DF790A">
        <w:rPr>
          <w:szCs w:val="24"/>
          <w:lang w:bidi="fa-IR"/>
        </w:rPr>
        <w:t>database</w:t>
      </w:r>
      <w:proofErr w:type="spellEnd"/>
      <w:r w:rsidR="00600C8C">
        <w:rPr>
          <w:szCs w:val="24"/>
          <w:lang w:bidi="fa-IR"/>
        </w:rPr>
        <w:t xml:space="preserve"> (</w:t>
      </w:r>
      <w:proofErr w:type="spellStart"/>
      <w:r w:rsidR="00600C8C">
        <w:rPr>
          <w:szCs w:val="24"/>
          <w:lang w:bidi="fa-IR"/>
        </w:rPr>
        <w:t>formerly</w:t>
      </w:r>
      <w:proofErr w:type="spellEnd"/>
      <w:r w:rsidR="00DF790A">
        <w:rPr>
          <w:szCs w:val="24"/>
          <w:lang w:bidi="fa-IR"/>
        </w:rPr>
        <w:t xml:space="preserve">: </w:t>
      </w:r>
      <w:proofErr w:type="spellStart"/>
      <w:r w:rsidR="00DF790A">
        <w:rPr>
          <w:szCs w:val="24"/>
          <w:lang w:bidi="fa-IR"/>
        </w:rPr>
        <w:t>Recap</w:t>
      </w:r>
      <w:proofErr w:type="spellEnd"/>
      <w:r w:rsidR="00DF790A">
        <w:rPr>
          <w:szCs w:val="24"/>
          <w:lang w:bidi="fa-IR"/>
        </w:rPr>
        <w:t>)</w:t>
      </w:r>
      <w:r w:rsidR="00DF790A" w:rsidRPr="00DF790A">
        <w:rPr>
          <w:szCs w:val="24"/>
          <w:lang w:bidi="fa-IR"/>
        </w:rPr>
        <w:t xml:space="preserve"> </w:t>
      </w:r>
      <w:proofErr w:type="spellStart"/>
      <w:r w:rsidR="00600C8C">
        <w:rPr>
          <w:szCs w:val="24"/>
          <w:lang w:bidi="fa-IR"/>
        </w:rPr>
        <w:t>that</w:t>
      </w:r>
      <w:proofErr w:type="spellEnd"/>
      <w:r w:rsidR="00600C8C">
        <w:rPr>
          <w:szCs w:val="24"/>
          <w:lang w:bidi="fa-IR"/>
        </w:rPr>
        <w:t xml:space="preserve"> </w:t>
      </w:r>
      <w:proofErr w:type="spellStart"/>
      <w:r w:rsidR="00600C8C">
        <w:rPr>
          <w:szCs w:val="24"/>
          <w:lang w:bidi="fa-IR"/>
        </w:rPr>
        <w:t>tracks</w:t>
      </w:r>
      <w:proofErr w:type="spellEnd"/>
      <w:r w:rsidR="00DF790A" w:rsidRPr="00DF790A">
        <w:rPr>
          <w:szCs w:val="24"/>
          <w:lang w:bidi="fa-IR"/>
        </w:rPr>
        <w:t xml:space="preserve"> the alliances of US and non-US </w:t>
      </w:r>
      <w:r>
        <w:rPr>
          <w:szCs w:val="24"/>
          <w:lang w:bidi="fa-IR"/>
        </w:rPr>
        <w:t>biotech and pharma companies.</w:t>
      </w:r>
      <w:r w:rsidR="00DF790A" w:rsidRPr="00DF790A">
        <w:rPr>
          <w:szCs w:val="24"/>
          <w:lang w:bidi="fa-IR"/>
        </w:rPr>
        <w:t xml:space="preserve"> </w:t>
      </w:r>
      <w:r>
        <w:rPr>
          <w:szCs w:val="24"/>
          <w:lang w:bidi="fa-IR"/>
        </w:rPr>
        <w:t>It consists</w:t>
      </w:r>
      <w:r w:rsidR="00DF790A" w:rsidRPr="00DF790A">
        <w:rPr>
          <w:szCs w:val="24"/>
          <w:lang w:bidi="fa-IR"/>
        </w:rPr>
        <w:t xml:space="preserve"> </w:t>
      </w:r>
      <w:r>
        <w:rPr>
          <w:szCs w:val="24"/>
          <w:lang w:bidi="fa-IR"/>
        </w:rPr>
        <w:t xml:space="preserve">of </w:t>
      </w:r>
      <w:r w:rsidR="00DF790A" w:rsidRPr="00DF790A">
        <w:rPr>
          <w:szCs w:val="24"/>
          <w:lang w:bidi="fa-IR"/>
        </w:rPr>
        <w:t xml:space="preserve">published company information submitted and reviewed by the Securities and Exchange Commission. </w:t>
      </w:r>
      <w:r>
        <w:rPr>
          <w:szCs w:val="24"/>
          <w:lang w:bidi="fa-IR"/>
        </w:rPr>
        <w:t xml:space="preserve">We used </w:t>
      </w:r>
      <w:r w:rsidR="00DF790A" w:rsidRPr="00DF790A">
        <w:rPr>
          <w:szCs w:val="24"/>
          <w:lang w:bidi="fa-IR"/>
        </w:rPr>
        <w:t xml:space="preserve">Derwent Innovation Index </w:t>
      </w:r>
      <w:r w:rsidR="00DF790A">
        <w:rPr>
          <w:szCs w:val="24"/>
          <w:lang w:bidi="fa-IR"/>
        </w:rPr>
        <w:t>as the main</w:t>
      </w:r>
      <w:r w:rsidR="00DF790A" w:rsidRPr="00DF790A">
        <w:rPr>
          <w:szCs w:val="24"/>
          <w:lang w:bidi="fa-IR"/>
        </w:rPr>
        <w:t xml:space="preserve"> source </w:t>
      </w:r>
      <w:r>
        <w:rPr>
          <w:szCs w:val="24"/>
          <w:lang w:bidi="fa-IR"/>
        </w:rPr>
        <w:t>of</w:t>
      </w:r>
      <w:r w:rsidR="00DF790A" w:rsidRPr="00DF790A">
        <w:rPr>
          <w:szCs w:val="24"/>
          <w:lang w:bidi="fa-IR"/>
        </w:rPr>
        <w:t xml:space="preserve"> </w:t>
      </w:r>
      <w:r>
        <w:rPr>
          <w:szCs w:val="24"/>
          <w:lang w:bidi="fa-IR"/>
        </w:rPr>
        <w:t>data</w:t>
      </w:r>
      <w:r w:rsidR="00DF790A" w:rsidRPr="00DF790A">
        <w:rPr>
          <w:szCs w:val="24"/>
          <w:lang w:bidi="fa-IR"/>
        </w:rPr>
        <w:t xml:space="preserve"> on </w:t>
      </w:r>
      <w:r>
        <w:rPr>
          <w:szCs w:val="24"/>
          <w:lang w:bidi="fa-IR"/>
        </w:rPr>
        <w:t xml:space="preserve">firm’s </w:t>
      </w:r>
      <w:r w:rsidR="00DF790A" w:rsidRPr="00DF790A">
        <w:rPr>
          <w:szCs w:val="24"/>
          <w:lang w:bidi="fa-IR"/>
        </w:rPr>
        <w:t>patents and their underlying technologies.</w:t>
      </w:r>
      <w:r w:rsidR="00DF790A">
        <w:rPr>
          <w:szCs w:val="24"/>
          <w:lang w:bidi="fa-IR"/>
        </w:rPr>
        <w:t xml:space="preserve"> </w:t>
      </w:r>
      <w:r>
        <w:rPr>
          <w:szCs w:val="24"/>
          <w:lang w:bidi="fa-IR"/>
        </w:rPr>
        <w:t>We also used</w:t>
      </w:r>
      <w:r w:rsidR="00DF790A" w:rsidRPr="00DF790A">
        <w:rPr>
          <w:szCs w:val="24"/>
          <w:lang w:bidi="fa-IR"/>
        </w:rPr>
        <w:t xml:space="preserve"> </w:t>
      </w:r>
      <w:proofErr w:type="spellStart"/>
      <w:r w:rsidR="00DF790A" w:rsidRPr="00DF790A">
        <w:rPr>
          <w:szCs w:val="24"/>
          <w:lang w:bidi="fa-IR"/>
        </w:rPr>
        <w:t>Compustat</w:t>
      </w:r>
      <w:proofErr w:type="spellEnd"/>
      <w:r w:rsidR="00DF790A" w:rsidRPr="00DF790A">
        <w:rPr>
          <w:szCs w:val="24"/>
          <w:lang w:bidi="fa-IR"/>
        </w:rPr>
        <w:t xml:space="preserve"> database to extract all relevant firm-level financial data of the partnering firms,</w:t>
      </w:r>
      <w:r w:rsidR="008C423A">
        <w:rPr>
          <w:szCs w:val="24"/>
          <w:lang w:bidi="fa-IR"/>
        </w:rPr>
        <w:t xml:space="preserve"> such as their total assets </w:t>
      </w:r>
      <w:r w:rsidR="00DF790A" w:rsidRPr="00DF790A">
        <w:rPr>
          <w:szCs w:val="24"/>
          <w:lang w:bidi="fa-IR"/>
        </w:rPr>
        <w:t>in the years leading up to the alliance formation.</w:t>
      </w:r>
    </w:p>
    <w:p w14:paraId="36FECFC5" w14:textId="6C91A144" w:rsidR="00DE5DA9" w:rsidRPr="00594F2B" w:rsidRDefault="00C37DA6" w:rsidP="00EB34AD">
      <w:pPr>
        <w:spacing w:line="480" w:lineRule="auto"/>
        <w:jc w:val="both"/>
        <w:rPr>
          <w:szCs w:val="24"/>
          <w:lang w:val="en-US" w:bidi="fa-IR"/>
        </w:rPr>
      </w:pPr>
      <w:r w:rsidRPr="00DF790A">
        <w:rPr>
          <w:szCs w:val="24"/>
          <w:lang w:val="en-US" w:bidi="fa-IR"/>
        </w:rPr>
        <w:t>Our</w:t>
      </w:r>
      <w:r w:rsidR="00DE5DA9" w:rsidRPr="00DF790A">
        <w:rPr>
          <w:szCs w:val="24"/>
          <w:lang w:val="en-US" w:bidi="fa-IR"/>
        </w:rPr>
        <w:t xml:space="preserve"> sample comprises</w:t>
      </w:r>
      <w:r w:rsidRPr="00DF790A">
        <w:rPr>
          <w:szCs w:val="24"/>
          <w:lang w:val="en-US" w:bidi="fa-IR"/>
        </w:rPr>
        <w:t xml:space="preserve"> of</w:t>
      </w:r>
      <w:r w:rsidR="00DE5DA9" w:rsidRPr="00DF790A">
        <w:rPr>
          <w:szCs w:val="24"/>
          <w:lang w:val="en-US" w:bidi="fa-IR"/>
        </w:rPr>
        <w:t xml:space="preserve"> 330 alliances</w:t>
      </w:r>
      <w:r w:rsidR="00DE5DA9" w:rsidRPr="00594F2B">
        <w:rPr>
          <w:szCs w:val="24"/>
          <w:lang w:val="en-US" w:bidi="fa-IR"/>
        </w:rPr>
        <w:t xml:space="preserve"> formed </w:t>
      </w:r>
      <w:r w:rsidRPr="00594F2B">
        <w:rPr>
          <w:szCs w:val="24"/>
          <w:lang w:val="en-US" w:bidi="fa-IR"/>
        </w:rPr>
        <w:t>during</w:t>
      </w:r>
      <w:r w:rsidR="00DE5DA9" w:rsidRPr="00594F2B">
        <w:rPr>
          <w:szCs w:val="24"/>
          <w:lang w:val="en-US" w:bidi="fa-IR"/>
        </w:rPr>
        <w:t xml:space="preserve"> the period 2006-2009 all over the world, typically by a biotechnology firm as the technology provider and a larger pharmaceutical firm as the technology client. </w:t>
      </w:r>
    </w:p>
    <w:p w14:paraId="373AA991" w14:textId="41D79FDA" w:rsidR="004A4021" w:rsidRPr="00594F2B" w:rsidRDefault="00BA6057" w:rsidP="00BA6057">
      <w:pPr>
        <w:spacing w:line="480" w:lineRule="auto"/>
        <w:jc w:val="both"/>
        <w:rPr>
          <w:szCs w:val="24"/>
          <w:lang w:val="en-US" w:bidi="fa-IR"/>
        </w:rPr>
      </w:pPr>
      <w:r w:rsidRPr="00594F2B">
        <w:rPr>
          <w:szCs w:val="24"/>
          <w:lang w:val="en-US" w:bidi="fa-IR"/>
        </w:rPr>
        <w:t xml:space="preserve">In </w:t>
      </w:r>
      <w:r w:rsidR="00C37DA6" w:rsidRPr="00594F2B">
        <w:rPr>
          <w:szCs w:val="24"/>
          <w:lang w:val="en-US" w:bidi="fa-IR"/>
        </w:rPr>
        <w:t xml:space="preserve">the </w:t>
      </w:r>
      <w:r w:rsidRPr="00594F2B">
        <w:rPr>
          <w:szCs w:val="24"/>
          <w:lang w:val="en-US" w:bidi="fa-IR"/>
        </w:rPr>
        <w:t xml:space="preserve">biopharma industry, patents play a central role in a firm’s strategy as biotechnology appears to be a vital competence for innovation in drug development </w:t>
      </w:r>
      <w:r w:rsidRPr="00594F2B">
        <w:rPr>
          <w:rFonts w:eastAsia="Calibri" w:cs="Arial"/>
          <w:szCs w:val="24"/>
          <w:lang w:val="en-US" w:eastAsia="en-US" w:bidi="fa-IR"/>
        </w:rPr>
        <w:t xml:space="preserve">(Zhang, Baden-Fuller and </w:t>
      </w:r>
      <w:proofErr w:type="spellStart"/>
      <w:r w:rsidRPr="00594F2B">
        <w:rPr>
          <w:rFonts w:eastAsia="Calibri" w:cs="Arial"/>
          <w:szCs w:val="24"/>
          <w:lang w:val="en-US" w:eastAsia="en-US" w:bidi="fa-IR"/>
        </w:rPr>
        <w:t>Mangematin</w:t>
      </w:r>
      <w:proofErr w:type="spellEnd"/>
      <w:r w:rsidRPr="00594F2B">
        <w:rPr>
          <w:rFonts w:eastAsia="Calibri" w:cs="Arial"/>
          <w:szCs w:val="24"/>
          <w:lang w:val="en-US" w:eastAsia="en-US" w:bidi="fa-IR"/>
        </w:rPr>
        <w:t>, 2007)</w:t>
      </w:r>
      <w:r w:rsidRPr="00594F2B">
        <w:rPr>
          <w:szCs w:val="24"/>
          <w:lang w:val="en-US" w:bidi="fa-IR"/>
        </w:rPr>
        <w:t xml:space="preserve">. Since a patent typically includes a description of a technical problem and a solution to that problem </w:t>
      </w:r>
      <w:r w:rsidRPr="00594F2B">
        <w:rPr>
          <w:szCs w:val="24"/>
          <w:lang w:val="en-US" w:bidi="fa-IR"/>
        </w:rPr>
        <w:fldChar w:fldCharType="begin" w:fldLock="1"/>
      </w:r>
      <w:r w:rsidR="00207DE0">
        <w:rPr>
          <w:szCs w:val="24"/>
          <w:lang w:val="en-US" w:bidi="fa-IR"/>
        </w:rPr>
        <w:instrText>ADDIN CSL_CITATION { "citationItems" : [ { "id" : "ITEM-1", "itemData" : { "author" : [ { "dropping-particle" : "", "family" : "Walker", "given" : "Richard D", "non-dropping-particle" : "", "parse-names" : false, "suffix" : "" } ], "id" : "ITEM-1", "issued" : { "date-parts" : [ [ "1995" ] ] }, "publisher" : "Scarecrow Press", "title" : "Patents as scientific and technical literature", "type" : "book" }, "uris" : [ "http://www.mendeley.com/documents/?uuid=792c49ab-5d2c-4f15-aa20-e88cdb2feb9f", "http://www.mendeley.com/documents/?uuid=16f8e53d-0abb-460a-b701-32606ac72d05" ] } ], "mendeley" : { "formattedCitation" : "(Walker, 1995)", "plainTextFormattedCitation" : "(Walker, 1995)", "previouslyFormattedCitation" : "(Walker, 1995)" }, "properties" : {  }, "schema" : "https://github.com/citation-style-language/schema/raw/master/csl-citation.json" }</w:instrText>
      </w:r>
      <w:r w:rsidRPr="00594F2B">
        <w:rPr>
          <w:szCs w:val="24"/>
          <w:lang w:val="en-US" w:bidi="fa-IR"/>
        </w:rPr>
        <w:fldChar w:fldCharType="separate"/>
      </w:r>
      <w:r w:rsidRPr="00594F2B">
        <w:rPr>
          <w:noProof/>
          <w:szCs w:val="24"/>
          <w:lang w:val="en-US" w:bidi="fa-IR"/>
        </w:rPr>
        <w:t>(Walker, 1995)</w:t>
      </w:r>
      <w:r w:rsidRPr="00594F2B">
        <w:rPr>
          <w:szCs w:val="24"/>
          <w:lang w:val="en-US" w:bidi="fa-IR"/>
        </w:rPr>
        <w:fldChar w:fldCharType="end"/>
      </w:r>
      <w:r w:rsidRPr="00594F2B">
        <w:rPr>
          <w:szCs w:val="24"/>
          <w:lang w:val="en-US" w:bidi="fa-IR"/>
        </w:rPr>
        <w:t>, patent data provide</w:t>
      </w:r>
      <w:r w:rsidR="00C40F24" w:rsidRPr="00594F2B">
        <w:rPr>
          <w:szCs w:val="24"/>
          <w:lang w:val="en-US" w:bidi="fa-IR"/>
        </w:rPr>
        <w:t>s</w:t>
      </w:r>
      <w:r w:rsidRPr="00594F2B">
        <w:rPr>
          <w:szCs w:val="24"/>
          <w:lang w:val="en-US" w:bidi="fa-IR"/>
        </w:rPr>
        <w:t xml:space="preserve"> a consistent chronology of firms’ knowledge accumulation </w:t>
      </w:r>
      <w:r w:rsidRPr="00594F2B">
        <w:rPr>
          <w:szCs w:val="24"/>
          <w:lang w:val="en-US" w:bidi="fa-IR"/>
        </w:rPr>
        <w:fldChar w:fldCharType="begin" w:fldLock="1"/>
      </w:r>
      <w:r w:rsidR="00207DE0">
        <w:rPr>
          <w:szCs w:val="24"/>
          <w:lang w:val="en-US" w:bidi="fa-IR"/>
        </w:rPr>
        <w:instrText>ADDIN CSL_CITATION { "citationItems" : [ { "id" : "ITEM-1", "itemData" : { "DOI" : "10.1002/smj.4250150505", "ISSN" : "01432095", "author" : [ { "dropping-particle" : "", "family" : "Shan", "given" : "Weijan", "non-dropping-particle" : "", "parse-names" : false, "suffix" : "" }, { "dropping-particle" : "", "family" : "Walker", "given" : "Gordon", "non-dropping-particle" : "", "parse-names" : false, "suffix" : "" }, { "dropping-particle" : "", "family" : "Kogut", "given" : "Bruce", "non-dropping-particle" : "", "parse-names" : false, "suffix" : "" } ], "container-title" : "Strategic Management Journal", "id" : "ITEM-1", "issue" : "5", "issued" : { "date-parts" : [ [ "1994", "6" ] ] }, "page" : "387-394", "title" : "Interfirm cooperation and startup innovation in the biotechnology industry", "type" : "article-journal", "volume" : "15" }, "uris" : [ "http://www.mendeley.com/documents/?uuid=584bc00e-6c9e-37ab-9826-ebbb61c1a90a", "http://www.mendeley.com/documents/?uuid=202958ea-5287-4a44-a085-bc6d771ed848" ] } ], "mendeley" : { "formattedCitation" : "(Shan, Walker, &amp; Kogut, 1994)", "manualFormatting" : "(Shan et al., 1994)", "plainTextFormattedCitation" : "(Shan, Walker, &amp; Kogut, 1994)", "previouslyFormattedCitation" : "(Shan, Walker, &amp; Kogut, 1994)" }, "properties" : {  }, "schema" : "https://github.com/citation-style-language/schema/raw/master/csl-citation.json" }</w:instrText>
      </w:r>
      <w:r w:rsidRPr="00594F2B">
        <w:rPr>
          <w:szCs w:val="24"/>
          <w:lang w:val="en-US" w:bidi="fa-IR"/>
        </w:rPr>
        <w:fldChar w:fldCharType="separate"/>
      </w:r>
      <w:r w:rsidRPr="00594F2B">
        <w:rPr>
          <w:noProof/>
          <w:szCs w:val="24"/>
          <w:lang w:val="en-US" w:bidi="fa-IR"/>
        </w:rPr>
        <w:t>(Shan et al., 1994)</w:t>
      </w:r>
      <w:r w:rsidRPr="00594F2B">
        <w:rPr>
          <w:szCs w:val="24"/>
          <w:lang w:val="en-US" w:bidi="fa-IR"/>
        </w:rPr>
        <w:fldChar w:fldCharType="end"/>
      </w:r>
      <w:r w:rsidRPr="00594F2B">
        <w:rPr>
          <w:szCs w:val="24"/>
          <w:lang w:val="en-US" w:bidi="fa-IR"/>
        </w:rPr>
        <w:t>.</w:t>
      </w:r>
      <w:r w:rsidR="004A4021" w:rsidRPr="00594F2B">
        <w:rPr>
          <w:szCs w:val="24"/>
          <w:lang w:val="en-US" w:bidi="fa-IR"/>
        </w:rPr>
        <w:t xml:space="preserve">  </w:t>
      </w:r>
      <w:r w:rsidRPr="00594F2B">
        <w:rPr>
          <w:szCs w:val="24"/>
          <w:lang w:val="en-US" w:bidi="fa-IR"/>
        </w:rPr>
        <w:t xml:space="preserve">Measures of depth and breadth of technological resources </w:t>
      </w:r>
      <w:r w:rsidR="00C37DA6" w:rsidRPr="00594F2B">
        <w:rPr>
          <w:szCs w:val="24"/>
          <w:lang w:val="en-US" w:bidi="fa-IR"/>
        </w:rPr>
        <w:t>were</w:t>
      </w:r>
      <w:r w:rsidRPr="00594F2B">
        <w:rPr>
          <w:szCs w:val="24"/>
          <w:lang w:val="en-US" w:bidi="fa-IR"/>
        </w:rPr>
        <w:t xml:space="preserve"> constructed using information from the patents each biotech firm holds, as available in </w:t>
      </w:r>
      <w:r w:rsidR="00C37DA6" w:rsidRPr="00594F2B">
        <w:rPr>
          <w:szCs w:val="24"/>
          <w:lang w:val="en-US" w:bidi="fa-IR"/>
        </w:rPr>
        <w:t xml:space="preserve">the </w:t>
      </w:r>
      <w:r w:rsidRPr="00594F2B">
        <w:rPr>
          <w:szCs w:val="24"/>
          <w:lang w:val="en-US" w:bidi="fa-IR"/>
        </w:rPr>
        <w:t>Derwent Innovation Index. To capture the role of technological resources of the biotechnology firm leading up to the</w:t>
      </w:r>
      <w:r w:rsidR="00C37DA6" w:rsidRPr="00594F2B">
        <w:rPr>
          <w:szCs w:val="24"/>
          <w:lang w:val="en-US" w:bidi="fa-IR"/>
        </w:rPr>
        <w:t xml:space="preserve"> formation of the</w:t>
      </w:r>
      <w:r w:rsidRPr="00594F2B">
        <w:rPr>
          <w:szCs w:val="24"/>
          <w:lang w:val="en-US" w:bidi="fa-IR"/>
        </w:rPr>
        <w:t xml:space="preserve"> alliance, the number of patents in a three-year period </w:t>
      </w:r>
      <w:r w:rsidR="00C37DA6" w:rsidRPr="00594F2B">
        <w:rPr>
          <w:szCs w:val="24"/>
          <w:lang w:val="en-US" w:bidi="fa-IR"/>
        </w:rPr>
        <w:t>were</w:t>
      </w:r>
      <w:r w:rsidRPr="00594F2B">
        <w:rPr>
          <w:szCs w:val="24"/>
          <w:lang w:val="en-US" w:bidi="fa-IR"/>
        </w:rPr>
        <w:t xml:space="preserve"> counted</w:t>
      </w:r>
      <w:r w:rsidR="00C37DA6" w:rsidRPr="00594F2B">
        <w:rPr>
          <w:szCs w:val="24"/>
          <w:lang w:val="en-US" w:bidi="fa-IR"/>
        </w:rPr>
        <w:t xml:space="preserve"> that included</w:t>
      </w:r>
      <w:r w:rsidRPr="00594F2B">
        <w:rPr>
          <w:szCs w:val="24"/>
          <w:lang w:val="en-US" w:bidi="fa-IR"/>
        </w:rPr>
        <w:t xml:space="preserve"> the two years leading up to </w:t>
      </w:r>
      <w:r w:rsidR="00C37DA6" w:rsidRPr="00594F2B">
        <w:rPr>
          <w:szCs w:val="24"/>
          <w:lang w:val="en-US" w:bidi="fa-IR"/>
        </w:rPr>
        <w:t xml:space="preserve">the formation of the alliance </w:t>
      </w:r>
      <w:r w:rsidRPr="00594F2B">
        <w:rPr>
          <w:szCs w:val="24"/>
          <w:lang w:val="en-US" w:bidi="fa-IR"/>
        </w:rPr>
        <w:t>and the</w:t>
      </w:r>
      <w:r w:rsidR="00C37DA6" w:rsidRPr="00594F2B">
        <w:rPr>
          <w:szCs w:val="24"/>
          <w:lang w:val="en-US" w:bidi="fa-IR"/>
        </w:rPr>
        <w:t xml:space="preserve"> first</w:t>
      </w:r>
      <w:r w:rsidRPr="00594F2B">
        <w:rPr>
          <w:szCs w:val="24"/>
          <w:lang w:val="en-US" w:bidi="fa-IR"/>
        </w:rPr>
        <w:t xml:space="preserve"> year of the alliance. </w:t>
      </w:r>
      <w:r w:rsidR="004A4021" w:rsidRPr="00594F2B">
        <w:rPr>
          <w:szCs w:val="24"/>
          <w:lang w:val="en-US" w:bidi="fa-IR"/>
        </w:rPr>
        <w:t>Since we were interested in examining the role of technology depth and technology breadth, we also captured</w:t>
      </w:r>
      <w:r w:rsidRPr="00594F2B">
        <w:rPr>
          <w:szCs w:val="24"/>
          <w:lang w:val="en-US" w:bidi="fa-IR"/>
        </w:rPr>
        <w:t xml:space="preserve"> the number of those patents which fall in a given technology class or subject area</w:t>
      </w:r>
      <w:r w:rsidR="004A4021" w:rsidRPr="00594F2B">
        <w:rPr>
          <w:szCs w:val="24"/>
          <w:lang w:val="en-US" w:bidi="fa-IR"/>
        </w:rPr>
        <w:t xml:space="preserve">. </w:t>
      </w:r>
      <w:r w:rsidRPr="00594F2B">
        <w:rPr>
          <w:szCs w:val="24"/>
          <w:lang w:val="en-US" w:bidi="fa-IR"/>
        </w:rPr>
        <w:t xml:space="preserve"> </w:t>
      </w:r>
      <w:r w:rsidR="00C37DA6" w:rsidRPr="00594F2B">
        <w:rPr>
          <w:szCs w:val="24"/>
          <w:lang w:val="en-US" w:bidi="fa-IR"/>
        </w:rPr>
        <w:t xml:space="preserve">The Measures </w:t>
      </w:r>
      <w:r w:rsidRPr="00594F2B">
        <w:rPr>
          <w:szCs w:val="24"/>
          <w:lang w:val="en-US" w:bidi="fa-IR"/>
        </w:rPr>
        <w:t>Section explains</w:t>
      </w:r>
      <w:r w:rsidR="00C37DA6" w:rsidRPr="00594F2B">
        <w:rPr>
          <w:szCs w:val="24"/>
          <w:lang w:val="en-US" w:bidi="fa-IR"/>
        </w:rPr>
        <w:t xml:space="preserve"> more fully</w:t>
      </w:r>
      <w:r w:rsidRPr="00594F2B">
        <w:rPr>
          <w:szCs w:val="24"/>
          <w:lang w:val="en-US" w:bidi="fa-IR"/>
        </w:rPr>
        <w:t xml:space="preserve"> how these numbers </w:t>
      </w:r>
      <w:r w:rsidR="004A4021" w:rsidRPr="00594F2B">
        <w:rPr>
          <w:szCs w:val="24"/>
          <w:lang w:val="en-US" w:bidi="fa-IR"/>
        </w:rPr>
        <w:t>were</w:t>
      </w:r>
      <w:r w:rsidRPr="00594F2B">
        <w:rPr>
          <w:szCs w:val="24"/>
          <w:lang w:val="en-US" w:bidi="fa-IR"/>
        </w:rPr>
        <w:t xml:space="preserve"> used to build measures of </w:t>
      </w:r>
      <w:r w:rsidR="00C37DA6" w:rsidRPr="00594F2B">
        <w:rPr>
          <w:szCs w:val="24"/>
          <w:lang w:val="en-US" w:bidi="fa-IR"/>
        </w:rPr>
        <w:t xml:space="preserve">technology </w:t>
      </w:r>
      <w:r w:rsidRPr="00594F2B">
        <w:rPr>
          <w:szCs w:val="24"/>
          <w:lang w:val="en-US" w:bidi="fa-IR"/>
        </w:rPr>
        <w:t>depth and</w:t>
      </w:r>
      <w:r w:rsidR="00C37DA6" w:rsidRPr="00594F2B">
        <w:rPr>
          <w:szCs w:val="24"/>
          <w:lang w:val="en-US" w:bidi="fa-IR"/>
        </w:rPr>
        <w:t xml:space="preserve"> technology</w:t>
      </w:r>
      <w:r w:rsidRPr="00594F2B">
        <w:rPr>
          <w:szCs w:val="24"/>
          <w:lang w:val="en-US" w:bidi="fa-IR"/>
        </w:rPr>
        <w:t xml:space="preserve"> breadth. </w:t>
      </w:r>
    </w:p>
    <w:p w14:paraId="2EDFB6BB" w14:textId="77777777" w:rsidR="00096B45" w:rsidRDefault="00096B45" w:rsidP="00096B45">
      <w:pPr>
        <w:spacing w:line="480" w:lineRule="auto"/>
        <w:jc w:val="both"/>
        <w:rPr>
          <w:rFonts w:eastAsia="Calibri"/>
          <w:b/>
          <w:i/>
          <w:iCs/>
          <w:lang w:val="en-US"/>
        </w:rPr>
      </w:pPr>
    </w:p>
    <w:p w14:paraId="68757CF9" w14:textId="2B6077C6" w:rsidR="00DE5DA9" w:rsidRPr="00096B45" w:rsidRDefault="00DE5DA9" w:rsidP="00096B45">
      <w:pPr>
        <w:spacing w:line="480" w:lineRule="auto"/>
        <w:jc w:val="both"/>
        <w:rPr>
          <w:b/>
          <w:i/>
          <w:iCs/>
          <w:lang w:val="en-US"/>
        </w:rPr>
      </w:pPr>
      <w:r w:rsidRPr="00096B45">
        <w:rPr>
          <w:rFonts w:eastAsia="Calibri"/>
          <w:b/>
          <w:i/>
          <w:iCs/>
          <w:lang w:val="en-US"/>
        </w:rPr>
        <w:lastRenderedPageBreak/>
        <w:t>Measures</w:t>
      </w:r>
    </w:p>
    <w:p w14:paraId="7E485670" w14:textId="702A070A" w:rsidR="00DE5DA9" w:rsidRPr="00594F2B" w:rsidRDefault="00BA6057" w:rsidP="00DE5DA9">
      <w:pPr>
        <w:spacing w:line="480" w:lineRule="auto"/>
        <w:jc w:val="both"/>
        <w:rPr>
          <w:rFonts w:eastAsia="Calibri" w:cs="Arial"/>
          <w:szCs w:val="24"/>
          <w:rtl/>
          <w:lang w:val="en-US" w:bidi="fa-IR"/>
        </w:rPr>
      </w:pPr>
      <w:r w:rsidRPr="00096B45">
        <w:rPr>
          <w:rFonts w:eastAsia="Calibri" w:cs="Arial"/>
          <w:szCs w:val="24"/>
          <w:lang w:val="en-US" w:bidi="fa-IR"/>
        </w:rPr>
        <w:t>Dependent Variable:</w:t>
      </w:r>
      <w:r w:rsidR="00DE5DA9" w:rsidRPr="00096B45">
        <w:rPr>
          <w:rFonts w:eastAsia="Calibri" w:cs="Arial"/>
          <w:i/>
          <w:iCs/>
          <w:szCs w:val="24"/>
          <w:lang w:val="en-US" w:bidi="fa-IR"/>
        </w:rPr>
        <w:t xml:space="preserve"> </w:t>
      </w:r>
      <w:r w:rsidR="00DE5DA9" w:rsidRPr="00096B45">
        <w:rPr>
          <w:rFonts w:eastAsia="Calibri" w:cs="Arial"/>
          <w:szCs w:val="24"/>
          <w:lang w:val="en-US" w:bidi="fa-IR"/>
        </w:rPr>
        <w:t>Financial</w:t>
      </w:r>
      <w:r w:rsidR="00DE5DA9" w:rsidRPr="00594F2B">
        <w:rPr>
          <w:rFonts w:eastAsia="Calibri" w:cs="Arial"/>
          <w:szCs w:val="24"/>
          <w:lang w:val="en-US" w:bidi="fa-IR"/>
        </w:rPr>
        <w:t xml:space="preserve"> Capital </w:t>
      </w:r>
      <w:r w:rsidR="00140ED2" w:rsidRPr="00594F2B">
        <w:rPr>
          <w:rFonts w:eastAsia="Calibri" w:cs="Arial"/>
          <w:szCs w:val="24"/>
          <w:lang w:val="en-US" w:bidi="fa-IR"/>
        </w:rPr>
        <w:t xml:space="preserve">was measured </w:t>
      </w:r>
      <w:r w:rsidR="00DE5DA9" w:rsidRPr="00594F2B">
        <w:rPr>
          <w:rFonts w:eastAsia="Calibri" w:cs="Arial"/>
          <w:szCs w:val="24"/>
          <w:lang w:val="en-US" w:bidi="fa-IR"/>
        </w:rPr>
        <w:t>as</w:t>
      </w:r>
      <w:r w:rsidR="00140ED2" w:rsidRPr="00594F2B">
        <w:rPr>
          <w:rFonts w:eastAsia="Calibri" w:cs="Arial"/>
          <w:szCs w:val="24"/>
          <w:lang w:val="en-US" w:bidi="fa-IR"/>
        </w:rPr>
        <w:t xml:space="preserve"> an</w:t>
      </w:r>
      <w:r w:rsidR="00DE5DA9" w:rsidRPr="00594F2B">
        <w:rPr>
          <w:rFonts w:eastAsia="Calibri" w:cs="Arial"/>
          <w:szCs w:val="24"/>
          <w:lang w:val="en-US" w:bidi="fa-IR"/>
        </w:rPr>
        <w:t xml:space="preserve"> upfront payment in million dollars</w:t>
      </w:r>
      <w:r w:rsidR="00140ED2" w:rsidRPr="00594F2B">
        <w:rPr>
          <w:rFonts w:eastAsia="Calibri" w:cs="Arial"/>
          <w:szCs w:val="24"/>
          <w:lang w:val="en-US" w:bidi="fa-IR"/>
        </w:rPr>
        <w:t xml:space="preserve"> US</w:t>
      </w:r>
      <w:r w:rsidR="00DE5DA9" w:rsidRPr="00594F2B">
        <w:rPr>
          <w:rFonts w:eastAsia="Calibri" w:cs="Arial"/>
          <w:szCs w:val="24"/>
          <w:lang w:val="en-US" w:bidi="fa-IR"/>
        </w:rPr>
        <w:t xml:space="preserve"> by the pharma partner (financier) to the biotech partner (provider of technology).</w:t>
      </w:r>
    </w:p>
    <w:p w14:paraId="52186F3B" w14:textId="3B81D08A" w:rsidR="001E411F" w:rsidRPr="00594F2B" w:rsidRDefault="001E411F" w:rsidP="001E411F">
      <w:pPr>
        <w:spacing w:line="480" w:lineRule="auto"/>
        <w:jc w:val="both"/>
        <w:rPr>
          <w:rFonts w:eastAsia="Calibri" w:cs="Arial"/>
          <w:szCs w:val="24"/>
          <w:lang w:val="en-US" w:bidi="fa-IR"/>
        </w:rPr>
      </w:pPr>
      <w:r w:rsidRPr="00096B45">
        <w:rPr>
          <w:rFonts w:eastAsia="Calibri" w:cs="Arial"/>
          <w:noProof/>
          <w:szCs w:val="24"/>
          <w:lang w:val="en-US" w:eastAsia="en-US"/>
        </w:rPr>
        <w:drawing>
          <wp:anchor distT="0" distB="0" distL="114300" distR="114300" simplePos="0" relativeHeight="251665408" behindDoc="0" locked="0" layoutInCell="1" allowOverlap="1" wp14:anchorId="2A72E1A5" wp14:editId="42D3B168">
            <wp:simplePos x="0" y="0"/>
            <wp:positionH relativeFrom="column">
              <wp:posOffset>3629025</wp:posOffset>
            </wp:positionH>
            <wp:positionV relativeFrom="paragraph">
              <wp:posOffset>801370</wp:posOffset>
            </wp:positionV>
            <wp:extent cx="1181100" cy="504825"/>
            <wp:effectExtent l="0" t="0" r="0" b="9525"/>
            <wp:wrapThrough wrapText="bothSides">
              <wp:wrapPolygon edited="0">
                <wp:start x="0" y="0"/>
                <wp:lineTo x="0" y="21192"/>
                <wp:lineTo x="21252" y="21192"/>
                <wp:lineTo x="21252" y="0"/>
                <wp:lineTo x="0" y="0"/>
              </wp:wrapPolygon>
            </wp:wrapThrough>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5048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BA6057" w:rsidRPr="00096B45">
        <w:rPr>
          <w:rFonts w:eastAsia="Calibri" w:cs="Arial"/>
          <w:noProof/>
          <w:szCs w:val="24"/>
          <w:lang w:val="en-US" w:eastAsia="en-US"/>
        </w:rPr>
        <mc:AlternateContent>
          <mc:Choice Requires="wps">
            <w:drawing>
              <wp:anchor distT="45720" distB="45720" distL="114300" distR="114300" simplePos="0" relativeHeight="251667456" behindDoc="0" locked="0" layoutInCell="1" allowOverlap="1" wp14:anchorId="607089EF" wp14:editId="3173C42B">
                <wp:simplePos x="0" y="0"/>
                <wp:positionH relativeFrom="margin">
                  <wp:posOffset>5505450</wp:posOffset>
                </wp:positionH>
                <wp:positionV relativeFrom="paragraph">
                  <wp:posOffset>890905</wp:posOffset>
                </wp:positionV>
                <wp:extent cx="447675" cy="304800"/>
                <wp:effectExtent l="0" t="0" r="9525" b="0"/>
                <wp:wrapThrough wrapText="bothSides">
                  <wp:wrapPolygon edited="0">
                    <wp:start x="0" y="0"/>
                    <wp:lineTo x="0" y="20250"/>
                    <wp:lineTo x="21140" y="20250"/>
                    <wp:lineTo x="21140" y="0"/>
                    <wp:lineTo x="0" y="0"/>
                  </wp:wrapPolygon>
                </wp:wrapThrough>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solidFill>
                          <a:srgbClr val="FFFFFF"/>
                        </a:solidFill>
                        <a:ln w="9525">
                          <a:noFill/>
                          <a:miter lim="800000"/>
                          <a:headEnd/>
                          <a:tailEnd/>
                        </a:ln>
                      </wps:spPr>
                      <wps:txbx>
                        <w:txbxContent>
                          <w:p w14:paraId="5529839A" w14:textId="77777777" w:rsidR="00FC6939" w:rsidRDefault="00FC6939" w:rsidP="00DE5DA9">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089EF" id="_x0000_s1038" type="#_x0000_t202" style="position:absolute;left:0;text-align:left;margin-left:433.5pt;margin-top:70.15pt;width:35.25pt;height:2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" stroked="f">
                <v:textbox>
                  <w:txbxContent>
                    <w:p w14:paraId="5529839A" w14:textId="77777777" w:rsidR="00FC6939" w:rsidRDefault="00FC6939" w:rsidP="00DE5DA9">
                      <w:r>
                        <w:t>(2)</w:t>
                      </w:r>
                    </w:p>
                  </w:txbxContent>
                </v:textbox>
                <w10:wrap type="through" anchorx="margin"/>
              </v:shape>
            </w:pict>
          </mc:Fallback>
        </mc:AlternateContent>
      </w:r>
      <w:r w:rsidR="00BA6057" w:rsidRPr="00096B45">
        <w:rPr>
          <w:rFonts w:eastAsia="Calibri" w:cs="Arial"/>
          <w:noProof/>
          <w:szCs w:val="24"/>
          <w:lang w:val="en-US" w:eastAsia="en-US"/>
        </w:rPr>
        <mc:AlternateContent>
          <mc:Choice Requires="wps">
            <w:drawing>
              <wp:anchor distT="45720" distB="45720" distL="114300" distR="114300" simplePos="0" relativeHeight="251666432" behindDoc="0" locked="0" layoutInCell="1" allowOverlap="1" wp14:anchorId="0E54C172" wp14:editId="1E8A1842">
                <wp:simplePos x="0" y="0"/>
                <wp:positionH relativeFrom="rightMargin">
                  <wp:posOffset>-276225</wp:posOffset>
                </wp:positionH>
                <wp:positionV relativeFrom="paragraph">
                  <wp:posOffset>180340</wp:posOffset>
                </wp:positionV>
                <wp:extent cx="447675" cy="342900"/>
                <wp:effectExtent l="0" t="0" r="9525" b="0"/>
                <wp:wrapThrough wrapText="bothSides">
                  <wp:wrapPolygon edited="0">
                    <wp:start x="0" y="0"/>
                    <wp:lineTo x="0" y="20400"/>
                    <wp:lineTo x="21140" y="20400"/>
                    <wp:lineTo x="21140" y="0"/>
                    <wp:lineTo x="0" y="0"/>
                  </wp:wrapPolygon>
                </wp:wrapThrough>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solidFill>
                          <a:srgbClr val="FFFFFF"/>
                        </a:solidFill>
                        <a:ln w="9525">
                          <a:noFill/>
                          <a:miter lim="800000"/>
                          <a:headEnd/>
                          <a:tailEnd/>
                        </a:ln>
                      </wps:spPr>
                      <wps:txbx>
                        <w:txbxContent>
                          <w:p w14:paraId="0FFC3EEE" w14:textId="77777777" w:rsidR="00FC6939" w:rsidRDefault="00FC6939" w:rsidP="00DE5DA9">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4C172" id="_x0000_s1039" type="#_x0000_t202" style="position:absolute;left:0;text-align:left;margin-left:-21.75pt;margin-top:14.2pt;width:35.25pt;height:27pt;z-index:251666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" stroked="f">
                <v:textbox>
                  <w:txbxContent>
                    <w:p w14:paraId="0FFC3EEE" w14:textId="77777777" w:rsidR="00FC6939" w:rsidRDefault="00FC6939" w:rsidP="00DE5DA9">
                      <w:r>
                        <w:t>(1)</w:t>
                      </w:r>
                    </w:p>
                  </w:txbxContent>
                </v:textbox>
                <w10:wrap type="through" anchorx="margin"/>
              </v:shape>
            </w:pict>
          </mc:Fallback>
        </mc:AlternateContent>
      </w:r>
      <w:r w:rsidR="00BA6057" w:rsidRPr="00096B45">
        <w:rPr>
          <w:rFonts w:eastAsia="Calibri" w:cs="Arial"/>
          <w:noProof/>
          <w:szCs w:val="24"/>
          <w:lang w:val="en-US" w:eastAsia="en-US"/>
        </w:rPr>
        <w:drawing>
          <wp:anchor distT="0" distB="0" distL="114300" distR="114300" simplePos="0" relativeHeight="251664384" behindDoc="0" locked="0" layoutInCell="1" allowOverlap="1" wp14:anchorId="3AE0EF4D" wp14:editId="7914AD47">
            <wp:simplePos x="0" y="0"/>
            <wp:positionH relativeFrom="margin">
              <wp:posOffset>3524250</wp:posOffset>
            </wp:positionH>
            <wp:positionV relativeFrom="paragraph">
              <wp:posOffset>1270</wp:posOffset>
            </wp:positionV>
            <wp:extent cx="1866900" cy="657225"/>
            <wp:effectExtent l="0" t="0" r="0" b="9525"/>
            <wp:wrapThrough wrapText="bothSides">
              <wp:wrapPolygon edited="0">
                <wp:start x="0" y="0"/>
                <wp:lineTo x="0" y="21287"/>
                <wp:lineTo x="21380" y="21287"/>
                <wp:lineTo x="21380" y="0"/>
                <wp:lineTo x="0" y="0"/>
              </wp:wrapPolygon>
            </wp:wrapThrough>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DE5DA9" w:rsidRPr="00096B45">
        <w:rPr>
          <w:rFonts w:eastAsia="Calibri" w:cs="Arial"/>
          <w:szCs w:val="24"/>
          <w:lang w:val="en-US" w:bidi="fa-IR"/>
        </w:rPr>
        <w:t>Independent Variables: Following</w:t>
      </w:r>
      <w:r w:rsidR="00DE5DA9" w:rsidRPr="00594F2B">
        <w:rPr>
          <w:rFonts w:eastAsia="Calibri" w:cs="Arial"/>
          <w:szCs w:val="24"/>
          <w:lang w:val="en-US" w:bidi="fa-IR"/>
        </w:rPr>
        <w:t xml:space="preserve"> Zhan</w:t>
      </w:r>
      <w:r w:rsidR="00705AE5" w:rsidRPr="00594F2B">
        <w:rPr>
          <w:rFonts w:eastAsia="Calibri" w:cs="Arial"/>
          <w:szCs w:val="24"/>
          <w:lang w:val="en-US" w:bidi="fa-IR"/>
        </w:rPr>
        <w:t xml:space="preserve">g, Baden-Fuller and </w:t>
      </w:r>
      <w:proofErr w:type="spellStart"/>
      <w:r w:rsidR="00705AE5" w:rsidRPr="00594F2B">
        <w:rPr>
          <w:rFonts w:eastAsia="Calibri" w:cs="Arial"/>
          <w:szCs w:val="24"/>
          <w:lang w:val="en-US" w:bidi="fa-IR"/>
        </w:rPr>
        <w:t>Mangematin</w:t>
      </w:r>
      <w:proofErr w:type="spellEnd"/>
      <w:r w:rsidR="00705AE5" w:rsidRPr="00594F2B">
        <w:rPr>
          <w:rFonts w:eastAsia="Calibri" w:cs="Arial"/>
          <w:szCs w:val="24"/>
          <w:lang w:val="en-US" w:bidi="fa-IR"/>
        </w:rPr>
        <w:t xml:space="preserve"> </w:t>
      </w:r>
      <w:r w:rsidR="00DE5DA9" w:rsidRPr="00594F2B">
        <w:rPr>
          <w:rFonts w:eastAsia="Calibri" w:cs="Arial"/>
          <w:szCs w:val="24"/>
          <w:lang w:val="en-US" w:bidi="fa-IR"/>
        </w:rPr>
        <w:t xml:space="preserve">(2007), </w:t>
      </w:r>
      <w:r w:rsidR="00705AE5" w:rsidRPr="00594F2B">
        <w:rPr>
          <w:rFonts w:eastAsia="Calibri" w:cs="Arial"/>
          <w:szCs w:val="24"/>
          <w:lang w:val="en-US" w:bidi="fa-IR"/>
        </w:rPr>
        <w:t xml:space="preserve">we </w:t>
      </w:r>
      <w:r w:rsidR="00DE5DA9" w:rsidRPr="00594F2B">
        <w:rPr>
          <w:rFonts w:eastAsia="Calibri" w:cs="Arial"/>
          <w:szCs w:val="24"/>
          <w:lang w:val="en-US" w:bidi="fa-IR"/>
        </w:rPr>
        <w:t>measure</w:t>
      </w:r>
      <w:r w:rsidR="00140ED2" w:rsidRPr="00594F2B">
        <w:rPr>
          <w:rFonts w:eastAsia="Calibri" w:cs="Arial"/>
          <w:szCs w:val="24"/>
          <w:lang w:val="en-US" w:bidi="fa-IR"/>
        </w:rPr>
        <w:t>d</w:t>
      </w:r>
      <w:r w:rsidR="00312BF1">
        <w:rPr>
          <w:rFonts w:eastAsia="Calibri" w:cs="Arial"/>
          <w:szCs w:val="24"/>
          <w:lang w:val="en-US" w:bidi="fa-IR"/>
        </w:rPr>
        <w:t xml:space="preserve"> “technological</w:t>
      </w:r>
      <w:r w:rsidR="00DE5DA9" w:rsidRPr="00594F2B">
        <w:rPr>
          <w:rFonts w:eastAsia="Calibri" w:cs="Arial"/>
          <w:szCs w:val="24"/>
          <w:lang w:val="en-US" w:bidi="fa-IR"/>
        </w:rPr>
        <w:t xml:space="preserve"> depth” in two steps. First, the “Revealed Technological Advantage”</w:t>
      </w:r>
      <w:r w:rsidR="00705AE5" w:rsidRPr="00594F2B">
        <w:rPr>
          <w:rFonts w:eastAsia="Calibri" w:cs="Arial"/>
          <w:szCs w:val="24"/>
          <w:lang w:val="en-US" w:bidi="fa-IR"/>
        </w:rPr>
        <w:t xml:space="preserve"> (RTA) of </w:t>
      </w:r>
      <w:r w:rsidR="00DE5DA9" w:rsidRPr="00594F2B">
        <w:rPr>
          <w:rFonts w:eastAsia="Calibri" w:cs="Arial"/>
          <w:szCs w:val="24"/>
          <w:lang w:val="en-US" w:bidi="fa-IR"/>
        </w:rPr>
        <w:t xml:space="preserve">each firm is computed as in equation (1), where P is the number of patents held by firm </w:t>
      </w:r>
      <w:proofErr w:type="spellStart"/>
      <w:r w:rsidR="00DE5DA9" w:rsidRPr="00594F2B">
        <w:rPr>
          <w:rFonts w:eastAsia="Calibri" w:cs="Arial"/>
          <w:i/>
          <w:iCs/>
          <w:szCs w:val="24"/>
          <w:lang w:val="en-US" w:bidi="fa-IR"/>
        </w:rPr>
        <w:t>i</w:t>
      </w:r>
      <w:proofErr w:type="spellEnd"/>
      <w:r w:rsidR="00DE5DA9" w:rsidRPr="00594F2B">
        <w:rPr>
          <w:rFonts w:eastAsia="Calibri" w:cs="Arial"/>
          <w:i/>
          <w:iCs/>
          <w:szCs w:val="24"/>
          <w:lang w:val="en-US" w:bidi="fa-IR"/>
        </w:rPr>
        <w:t xml:space="preserve"> </w:t>
      </w:r>
      <w:r w:rsidR="00DE5DA9" w:rsidRPr="00594F2B">
        <w:rPr>
          <w:rFonts w:eastAsia="Calibri" w:cs="Arial"/>
          <w:szCs w:val="24"/>
          <w:lang w:val="en-US" w:bidi="fa-IR"/>
        </w:rPr>
        <w:t xml:space="preserve">in technology class </w:t>
      </w:r>
      <w:r w:rsidR="00DE5DA9" w:rsidRPr="00594F2B">
        <w:rPr>
          <w:rFonts w:eastAsia="Calibri" w:cs="Arial"/>
          <w:i/>
          <w:iCs/>
          <w:szCs w:val="24"/>
          <w:lang w:val="en-US" w:bidi="fa-IR"/>
        </w:rPr>
        <w:t>t.</w:t>
      </w:r>
      <w:r w:rsidR="00DE5DA9" w:rsidRPr="00594F2B">
        <w:rPr>
          <w:rFonts w:eastAsia="Calibri" w:cs="Arial"/>
          <w:szCs w:val="24"/>
          <w:lang w:val="en-US" w:bidi="fa-IR"/>
        </w:rPr>
        <w:t xml:space="preserve"> </w:t>
      </w:r>
    </w:p>
    <w:p w14:paraId="3828FBCD" w14:textId="0446783A" w:rsidR="00DE5DA9" w:rsidRPr="00594F2B" w:rsidRDefault="001E411F" w:rsidP="001E411F">
      <w:pPr>
        <w:spacing w:line="480" w:lineRule="auto"/>
        <w:jc w:val="both"/>
        <w:rPr>
          <w:rFonts w:eastAsia="Calibri" w:cs="Arial"/>
          <w:szCs w:val="24"/>
          <w:lang w:val="en-US" w:bidi="fa-IR"/>
        </w:rPr>
      </w:pPr>
      <w:r w:rsidRPr="00594F2B">
        <w:rPr>
          <w:rFonts w:eastAsia="Calibri" w:cs="Arial"/>
          <w:szCs w:val="24"/>
          <w:lang w:val="en-US" w:bidi="fa-IR"/>
        </w:rPr>
        <w:t xml:space="preserve">Equation </w:t>
      </w:r>
      <w:r w:rsidR="00DE5DA9" w:rsidRPr="00594F2B">
        <w:rPr>
          <w:rFonts w:eastAsia="Calibri" w:cs="Arial"/>
          <w:szCs w:val="24"/>
          <w:lang w:val="en-US" w:bidi="fa-IR"/>
        </w:rPr>
        <w:t xml:space="preserve">(1) is the ratio of the share of firm </w:t>
      </w:r>
      <w:proofErr w:type="spellStart"/>
      <w:r w:rsidR="00DE5DA9" w:rsidRPr="00594F2B">
        <w:rPr>
          <w:rFonts w:eastAsia="Calibri" w:cs="Arial"/>
          <w:i/>
          <w:iCs/>
          <w:szCs w:val="24"/>
          <w:lang w:val="en-US" w:bidi="fa-IR"/>
        </w:rPr>
        <w:t>i</w:t>
      </w:r>
      <w:proofErr w:type="spellEnd"/>
      <w:r w:rsidR="00DE5DA9" w:rsidRPr="00594F2B">
        <w:rPr>
          <w:rFonts w:eastAsia="Calibri" w:cs="Arial"/>
          <w:i/>
          <w:iCs/>
          <w:szCs w:val="24"/>
          <w:lang w:val="en-US" w:bidi="fa-IR"/>
        </w:rPr>
        <w:t xml:space="preserve"> </w:t>
      </w:r>
      <w:r w:rsidR="00DE5DA9" w:rsidRPr="00594F2B">
        <w:rPr>
          <w:rFonts w:eastAsia="Calibri" w:cs="Arial"/>
          <w:szCs w:val="24"/>
          <w:lang w:val="en-US" w:bidi="fa-IR"/>
        </w:rPr>
        <w:t xml:space="preserve">patents in technology class </w:t>
      </w:r>
      <w:r w:rsidR="00DE5DA9" w:rsidRPr="00594F2B">
        <w:rPr>
          <w:rFonts w:eastAsia="Calibri" w:cs="Arial"/>
          <w:i/>
          <w:iCs/>
          <w:szCs w:val="24"/>
          <w:lang w:val="en-US" w:bidi="fa-IR"/>
        </w:rPr>
        <w:t>t</w:t>
      </w:r>
      <w:r w:rsidR="005C5E3B">
        <w:rPr>
          <w:rFonts w:eastAsia="Calibri" w:cs="Arial"/>
          <w:szCs w:val="24"/>
          <w:lang w:val="en-US" w:bidi="fa-IR"/>
        </w:rPr>
        <w:t xml:space="preserve">, to the </w:t>
      </w:r>
      <w:r w:rsidR="00DE5DA9" w:rsidRPr="00594F2B">
        <w:rPr>
          <w:rFonts w:eastAsia="Calibri" w:cs="Arial"/>
          <w:szCs w:val="24"/>
          <w:lang w:val="en-US" w:bidi="fa-IR"/>
        </w:rPr>
        <w:t>share of all patents falling in that technology class. Then, we calculate</w:t>
      </w:r>
      <w:r w:rsidR="00140ED2" w:rsidRPr="00594F2B">
        <w:rPr>
          <w:rFonts w:eastAsia="Calibri" w:cs="Arial"/>
          <w:szCs w:val="24"/>
          <w:lang w:val="en-US" w:bidi="fa-IR"/>
        </w:rPr>
        <w:t>d</w:t>
      </w:r>
      <w:r w:rsidR="00DE5DA9" w:rsidRPr="00594F2B">
        <w:rPr>
          <w:rFonts w:eastAsia="Calibri" w:cs="Arial"/>
          <w:szCs w:val="24"/>
          <w:lang w:val="en-US" w:bidi="fa-IR"/>
        </w:rPr>
        <w:t xml:space="preserve"> depth as the coefficient of variation for all the firm’s RTA measures, as in equation (2).</w:t>
      </w:r>
    </w:p>
    <w:p w14:paraId="61AF5C52" w14:textId="3303DF95" w:rsidR="00312BF1" w:rsidRDefault="00312BF1" w:rsidP="00DE5DA9">
      <w:pPr>
        <w:spacing w:line="480" w:lineRule="auto"/>
        <w:jc w:val="both"/>
        <w:rPr>
          <w:rFonts w:eastAsia="Calibri" w:cs="Arial"/>
          <w:szCs w:val="24"/>
          <w:lang w:val="en-US" w:bidi="fa-IR"/>
        </w:rPr>
      </w:pPr>
      <w:r>
        <w:rPr>
          <w:rFonts w:eastAsia="Calibri" w:cs="Arial"/>
          <w:szCs w:val="24"/>
          <w:lang w:val="en-US" w:bidi="fa-IR"/>
        </w:rPr>
        <w:t>“Technological</w:t>
      </w:r>
      <w:r w:rsidR="00DE5DA9" w:rsidRPr="00594F2B">
        <w:rPr>
          <w:rFonts w:eastAsia="Calibri" w:cs="Arial"/>
          <w:szCs w:val="24"/>
          <w:lang w:val="en-US" w:bidi="fa-IR"/>
        </w:rPr>
        <w:t xml:space="preserve"> breadth” is simply the total number of technology classes</w:t>
      </w:r>
      <w:r w:rsidR="00DE5DA9" w:rsidRPr="00594F2B">
        <w:rPr>
          <w:rFonts w:eastAsia="Calibri" w:cs="Arial"/>
          <w:szCs w:val="24"/>
          <w:vertAlign w:val="superscript"/>
          <w:lang w:val="en-US" w:bidi="fa-IR"/>
        </w:rPr>
        <w:t xml:space="preserve"> </w:t>
      </w:r>
      <w:r w:rsidR="00DE5DA9" w:rsidRPr="00594F2B">
        <w:rPr>
          <w:rFonts w:eastAsia="Calibri" w:cs="Arial"/>
          <w:szCs w:val="24"/>
          <w:lang w:val="en-US" w:bidi="fa-IR"/>
        </w:rPr>
        <w:t xml:space="preserve">in which the firm was granted patents in the </w:t>
      </w:r>
      <w:proofErr w:type="gramStart"/>
      <w:r w:rsidR="00140ED2" w:rsidRPr="00594F2B">
        <w:rPr>
          <w:rFonts w:eastAsia="Calibri" w:cs="Arial"/>
          <w:szCs w:val="24"/>
          <w:lang w:val="en-US" w:bidi="fa-IR"/>
        </w:rPr>
        <w:t>2</w:t>
      </w:r>
      <w:r w:rsidR="00DE5DA9" w:rsidRPr="00594F2B">
        <w:rPr>
          <w:rFonts w:eastAsia="Calibri" w:cs="Arial"/>
          <w:szCs w:val="24"/>
          <w:lang w:val="en-US" w:bidi="fa-IR"/>
        </w:rPr>
        <w:t xml:space="preserve"> year</w:t>
      </w:r>
      <w:proofErr w:type="gramEnd"/>
      <w:r w:rsidR="00140ED2" w:rsidRPr="00594F2B">
        <w:rPr>
          <w:rFonts w:eastAsia="Calibri" w:cs="Arial"/>
          <w:szCs w:val="24"/>
          <w:lang w:val="en-US" w:bidi="fa-IR"/>
        </w:rPr>
        <w:t xml:space="preserve"> period prior to the alliance formation and the first year of the alliance</w:t>
      </w:r>
      <w:r w:rsidR="00DE5DA9" w:rsidRPr="00594F2B">
        <w:rPr>
          <w:rFonts w:eastAsia="Calibri" w:cs="Arial"/>
          <w:szCs w:val="24"/>
          <w:lang w:val="en-US" w:bidi="fa-IR"/>
        </w:rPr>
        <w:t xml:space="preserve">. </w:t>
      </w:r>
    </w:p>
    <w:p w14:paraId="1750BDB8" w14:textId="65BA3E7B" w:rsidR="00DE5DA9" w:rsidRDefault="00312BF1" w:rsidP="00DE5DA9">
      <w:pPr>
        <w:spacing w:line="480" w:lineRule="auto"/>
        <w:jc w:val="both"/>
        <w:rPr>
          <w:rFonts w:eastAsia="Calibri" w:cs="Arial"/>
          <w:szCs w:val="24"/>
          <w:lang w:val="en-US" w:bidi="fa-IR"/>
        </w:rPr>
      </w:pPr>
      <w:r>
        <w:rPr>
          <w:rFonts w:eastAsia="Calibri" w:cs="Arial"/>
          <w:szCs w:val="24"/>
          <w:lang w:val="en-US" w:bidi="fa-IR"/>
        </w:rPr>
        <w:t>“</w:t>
      </w:r>
      <w:r w:rsidR="00DE5DA9" w:rsidRPr="00594F2B">
        <w:rPr>
          <w:rFonts w:eastAsia="Calibri" w:cs="Arial"/>
          <w:szCs w:val="24"/>
          <w:lang w:val="en-US" w:bidi="fa-IR"/>
        </w:rPr>
        <w:t>Stage of development of technology</w:t>
      </w:r>
      <w:r>
        <w:rPr>
          <w:rFonts w:eastAsia="Calibri" w:cs="Arial"/>
          <w:szCs w:val="24"/>
          <w:lang w:val="en-US" w:bidi="fa-IR"/>
        </w:rPr>
        <w:t>”</w:t>
      </w:r>
      <w:r w:rsidR="00DE5DA9" w:rsidRPr="00594F2B">
        <w:rPr>
          <w:rFonts w:eastAsia="Calibri" w:cs="Arial"/>
          <w:szCs w:val="24"/>
          <w:lang w:val="en-US" w:bidi="fa-IR"/>
        </w:rPr>
        <w:t xml:space="preserve"> </w:t>
      </w:r>
      <w:r w:rsidR="00140ED2" w:rsidRPr="00594F2B">
        <w:rPr>
          <w:rFonts w:eastAsia="Calibri" w:cs="Arial"/>
          <w:szCs w:val="24"/>
          <w:lang w:val="en-US" w:bidi="fa-IR"/>
        </w:rPr>
        <w:t>was</w:t>
      </w:r>
      <w:r w:rsidR="00DE5DA9" w:rsidRPr="00594F2B">
        <w:rPr>
          <w:rFonts w:eastAsia="Calibri" w:cs="Arial"/>
          <w:szCs w:val="24"/>
          <w:lang w:val="en-US" w:bidi="fa-IR"/>
        </w:rPr>
        <w:t xml:space="preserve"> coded as integers ranging from 1 to 9 representing a categorical variable. 1: Formulation, 2: Discovery, 3: Lead molecule, 4: Preclinical trials, 5: Phase I, 6: Phase II, 7: Phase III, 8: BLA/NDA filed, 9: Approved. </w:t>
      </w:r>
    </w:p>
    <w:p w14:paraId="7C13E528" w14:textId="7E5AA1BF" w:rsidR="00312BF1" w:rsidRPr="00594F2B" w:rsidRDefault="00312BF1" w:rsidP="00CC4EC0">
      <w:pPr>
        <w:spacing w:line="480" w:lineRule="auto"/>
        <w:jc w:val="both"/>
        <w:rPr>
          <w:rFonts w:eastAsia="Calibri" w:cs="Arial"/>
          <w:szCs w:val="24"/>
          <w:lang w:val="en-US" w:bidi="fa-IR"/>
        </w:rPr>
      </w:pPr>
      <w:r>
        <w:rPr>
          <w:rFonts w:eastAsia="Calibri" w:cs="Arial"/>
          <w:szCs w:val="24"/>
          <w:lang w:val="en-US" w:bidi="fa-IR"/>
        </w:rPr>
        <w:t xml:space="preserve">“Equity-structure” was coded as a binary variable, with a value of 1 when the alliance involved </w:t>
      </w:r>
      <w:r w:rsidR="00CC4EC0">
        <w:rPr>
          <w:rFonts w:eastAsia="Calibri" w:cs="Arial"/>
          <w:szCs w:val="24"/>
          <w:lang w:val="en-US" w:bidi="fa-IR"/>
        </w:rPr>
        <w:t>the</w:t>
      </w:r>
      <w:r>
        <w:rPr>
          <w:rFonts w:eastAsia="Calibri" w:cs="Arial"/>
          <w:szCs w:val="24"/>
          <w:lang w:val="en-US" w:bidi="fa-IR"/>
        </w:rPr>
        <w:t xml:space="preserve"> pharma partner purchasing equities in the biotech company, and 0 otherwise. </w:t>
      </w:r>
    </w:p>
    <w:p w14:paraId="3D54175E" w14:textId="2C53F165" w:rsidR="00DE5DA9" w:rsidRPr="00096B45" w:rsidRDefault="00DE5DA9" w:rsidP="00096B45">
      <w:pPr>
        <w:spacing w:line="480" w:lineRule="auto"/>
        <w:jc w:val="both"/>
        <w:rPr>
          <w:rFonts w:eastAsia="Calibri" w:cs="Arial"/>
          <w:szCs w:val="24"/>
          <w:lang w:val="en-US" w:bidi="fa-IR"/>
        </w:rPr>
      </w:pPr>
      <w:r w:rsidRPr="00096B45">
        <w:rPr>
          <w:rFonts w:eastAsia="Calibri" w:cs="Arial"/>
          <w:szCs w:val="24"/>
          <w:lang w:val="en-US" w:bidi="fa-IR"/>
        </w:rPr>
        <w:t>Control Variables: We controlled</w:t>
      </w:r>
      <w:r w:rsidRPr="00594F2B">
        <w:rPr>
          <w:rFonts w:eastAsia="Calibri" w:cs="Arial"/>
          <w:szCs w:val="24"/>
          <w:lang w:val="en-US" w:bidi="fa-IR"/>
        </w:rPr>
        <w:t xml:space="preserve"> for</w:t>
      </w:r>
      <w:r w:rsidR="00705AE5" w:rsidRPr="00594F2B">
        <w:rPr>
          <w:rFonts w:eastAsia="Calibri" w:cs="Arial"/>
          <w:szCs w:val="24"/>
          <w:lang w:val="en-US" w:bidi="fa-IR"/>
        </w:rPr>
        <w:t xml:space="preserve"> other variables that influence the amount of financial capital a biotech firm </w:t>
      </w:r>
      <w:r w:rsidR="00CC4EC0" w:rsidRPr="00594F2B">
        <w:rPr>
          <w:rFonts w:eastAsia="Calibri" w:cs="Arial"/>
          <w:szCs w:val="24"/>
          <w:lang w:val="en-US" w:bidi="fa-IR"/>
        </w:rPr>
        <w:t>receives</w:t>
      </w:r>
      <w:r w:rsidR="00705AE5" w:rsidRPr="00594F2B">
        <w:rPr>
          <w:rFonts w:eastAsia="Calibri" w:cs="Arial"/>
          <w:szCs w:val="24"/>
          <w:lang w:val="en-US" w:bidi="fa-IR"/>
        </w:rPr>
        <w:t xml:space="preserve"> from the pharma partner</w:t>
      </w:r>
      <w:r w:rsidR="00D2434D" w:rsidRPr="00594F2B">
        <w:rPr>
          <w:rFonts w:eastAsia="Calibri" w:cs="Arial"/>
          <w:szCs w:val="24"/>
          <w:lang w:val="en-US" w:bidi="fa-IR"/>
        </w:rPr>
        <w:t>. The three control variables included the following</w:t>
      </w:r>
      <w:r w:rsidRPr="00594F2B">
        <w:rPr>
          <w:rFonts w:eastAsia="Calibri" w:cs="Arial"/>
          <w:szCs w:val="24"/>
          <w:lang w:val="en-US" w:bidi="fa-IR"/>
        </w:rPr>
        <w:t xml:space="preserve">: 1) </w:t>
      </w:r>
      <w:r w:rsidRPr="00594F2B">
        <w:rPr>
          <w:rFonts w:cs="Arial"/>
          <w:szCs w:val="24"/>
          <w:lang w:val="en-US" w:bidi="fa-IR"/>
        </w:rPr>
        <w:t xml:space="preserve">The biotech firm’s size: </w:t>
      </w:r>
      <w:r w:rsidRPr="00594F2B">
        <w:rPr>
          <w:rFonts w:eastAsia="Calibri" w:cs="Arial"/>
          <w:szCs w:val="24"/>
          <w:lang w:val="en-US" w:bidi="fa-IR"/>
        </w:rPr>
        <w:t xml:space="preserve">measured by the total assets of the biotech firm at the time of alliance formation. 2) </w:t>
      </w:r>
      <w:r w:rsidR="00D2434D" w:rsidRPr="00594F2B">
        <w:rPr>
          <w:rFonts w:eastAsia="Calibri" w:cs="Arial"/>
          <w:szCs w:val="24"/>
          <w:lang w:val="en-US" w:bidi="fa-IR"/>
        </w:rPr>
        <w:t>The biotech firm’s</w:t>
      </w:r>
      <w:r w:rsidRPr="00594F2B">
        <w:rPr>
          <w:rFonts w:eastAsia="Calibri" w:cs="Arial"/>
          <w:szCs w:val="24"/>
          <w:lang w:val="en-US" w:bidi="fa-IR"/>
        </w:rPr>
        <w:t xml:space="preserve"> prior alliance experience: measured as the number of alliances </w:t>
      </w:r>
      <w:r w:rsidR="00D2434D" w:rsidRPr="00594F2B">
        <w:rPr>
          <w:rFonts w:eastAsia="Calibri" w:cs="Arial"/>
          <w:szCs w:val="24"/>
          <w:lang w:val="en-US" w:bidi="fa-IR"/>
        </w:rPr>
        <w:t>th</w:t>
      </w:r>
      <w:r w:rsidR="0023312F" w:rsidRPr="00594F2B">
        <w:rPr>
          <w:rFonts w:eastAsia="Calibri" w:cs="Arial"/>
          <w:szCs w:val="24"/>
          <w:lang w:val="en-US" w:bidi="fa-IR"/>
        </w:rPr>
        <w:t>at the</w:t>
      </w:r>
      <w:r w:rsidR="00D2434D" w:rsidRPr="00594F2B">
        <w:rPr>
          <w:rFonts w:eastAsia="Calibri" w:cs="Arial"/>
          <w:szCs w:val="24"/>
          <w:lang w:val="en-US" w:bidi="fa-IR"/>
        </w:rPr>
        <w:t xml:space="preserve"> biotech firm</w:t>
      </w:r>
      <w:r w:rsidRPr="00594F2B">
        <w:rPr>
          <w:rFonts w:eastAsia="Calibri" w:cs="Arial"/>
          <w:szCs w:val="24"/>
          <w:lang w:val="en-US" w:bidi="fa-IR"/>
        </w:rPr>
        <w:t xml:space="preserve"> had entered into during the past five years leading to </w:t>
      </w:r>
      <w:r w:rsidRPr="00594F2B">
        <w:rPr>
          <w:rFonts w:eastAsia="Calibri" w:cs="Arial"/>
          <w:szCs w:val="24"/>
          <w:lang w:val="en-US" w:bidi="fa-IR"/>
        </w:rPr>
        <w:lastRenderedPageBreak/>
        <w:t>the alliance in question, and 3) The biotech firm’s slack resources: measured as the ratio of the firm’s current assets to current liabilities.</w:t>
      </w:r>
    </w:p>
    <w:p w14:paraId="3EEFD421" w14:textId="77777777" w:rsidR="00425019" w:rsidRPr="00594F2B" w:rsidRDefault="00425019" w:rsidP="006210C8">
      <w:pPr>
        <w:spacing w:line="480" w:lineRule="auto"/>
        <w:jc w:val="both"/>
        <w:rPr>
          <w:b/>
          <w:lang w:val="en-US"/>
        </w:rPr>
      </w:pPr>
      <w:r w:rsidRPr="00594F2B">
        <w:rPr>
          <w:rFonts w:eastAsia="Calibri"/>
          <w:b/>
          <w:lang w:val="en-US"/>
        </w:rPr>
        <w:t>Analysis and Results</w:t>
      </w:r>
    </w:p>
    <w:p w14:paraId="6583CF99" w14:textId="386C6872" w:rsidR="001E411F" w:rsidRPr="00594F2B" w:rsidRDefault="001E411F" w:rsidP="00B253AE">
      <w:pPr>
        <w:spacing w:line="480" w:lineRule="auto"/>
        <w:jc w:val="both"/>
        <w:rPr>
          <w:rFonts w:eastAsia="Calibri"/>
          <w:szCs w:val="24"/>
          <w:lang w:val="en-US" w:bidi="fa-IR"/>
        </w:rPr>
      </w:pPr>
      <w:r w:rsidRPr="00594F2B">
        <w:rPr>
          <w:rFonts w:eastAsia="Calibri"/>
          <w:szCs w:val="24"/>
          <w:lang w:val="en-US" w:bidi="fa-IR"/>
        </w:rPr>
        <w:t xml:space="preserve">Table 1 presents the </w:t>
      </w:r>
      <w:r w:rsidR="00D85E04" w:rsidRPr="00594F2B">
        <w:rPr>
          <w:rFonts w:eastAsia="Calibri"/>
          <w:szCs w:val="24"/>
          <w:lang w:val="en-US" w:bidi="fa-IR"/>
        </w:rPr>
        <w:t>descriptive statistic</w:t>
      </w:r>
      <w:r w:rsidR="00D2434D" w:rsidRPr="00594F2B">
        <w:rPr>
          <w:rFonts w:eastAsia="Calibri"/>
          <w:szCs w:val="24"/>
          <w:lang w:val="en-US" w:bidi="fa-IR"/>
        </w:rPr>
        <w:t>s</w:t>
      </w:r>
      <w:r w:rsidR="00D85E04" w:rsidRPr="00594F2B">
        <w:rPr>
          <w:rFonts w:eastAsia="Calibri"/>
          <w:szCs w:val="24"/>
          <w:lang w:val="en-US" w:bidi="fa-IR"/>
        </w:rPr>
        <w:t xml:space="preserve"> and correlations between study variables</w:t>
      </w:r>
      <w:r w:rsidRPr="00594F2B">
        <w:rPr>
          <w:rFonts w:eastAsia="Calibri"/>
          <w:szCs w:val="24"/>
          <w:lang w:val="en-US" w:bidi="fa-IR"/>
        </w:rPr>
        <w:t xml:space="preserve">. </w:t>
      </w:r>
      <w:r w:rsidR="00D85E04" w:rsidRPr="00594F2B">
        <w:rPr>
          <w:rFonts w:eastAsia="Calibri"/>
          <w:szCs w:val="24"/>
          <w:lang w:val="en-US" w:bidi="fa-IR"/>
        </w:rPr>
        <w:t>W</w:t>
      </w:r>
      <w:r w:rsidRPr="00594F2B">
        <w:rPr>
          <w:rFonts w:eastAsia="Calibri"/>
          <w:szCs w:val="24"/>
          <w:lang w:val="en-US" w:bidi="fa-IR"/>
        </w:rPr>
        <w:t xml:space="preserve">e observed a negative and significant correlation between the main two explanatory variables, i.e. depth and breadth. In order to assure that multicollinearity </w:t>
      </w:r>
      <w:r w:rsidR="00D2434D" w:rsidRPr="00594F2B">
        <w:rPr>
          <w:rFonts w:eastAsia="Calibri"/>
          <w:szCs w:val="24"/>
          <w:lang w:val="en-US" w:bidi="fa-IR"/>
        </w:rPr>
        <w:t>was</w:t>
      </w:r>
      <w:r w:rsidRPr="00594F2B">
        <w:rPr>
          <w:rFonts w:eastAsia="Calibri"/>
          <w:szCs w:val="24"/>
          <w:lang w:val="en-US" w:bidi="fa-IR"/>
        </w:rPr>
        <w:t xml:space="preserve"> not an issue, we computed </w:t>
      </w:r>
      <w:r w:rsidR="00D2434D" w:rsidRPr="00594F2B">
        <w:rPr>
          <w:rFonts w:eastAsia="Calibri"/>
          <w:szCs w:val="24"/>
          <w:lang w:val="en-US" w:bidi="fa-IR"/>
        </w:rPr>
        <w:t xml:space="preserve">the </w:t>
      </w:r>
      <w:r w:rsidRPr="00594F2B">
        <w:rPr>
          <w:rFonts w:eastAsia="Calibri"/>
          <w:szCs w:val="24"/>
          <w:lang w:val="en-US" w:bidi="fa-IR"/>
        </w:rPr>
        <w:t>Value Inflation Factor (VIF) for this pair</w:t>
      </w:r>
      <w:r w:rsidR="00D2434D" w:rsidRPr="00594F2B">
        <w:rPr>
          <w:rFonts w:eastAsia="Calibri"/>
          <w:szCs w:val="24"/>
          <w:lang w:val="en-US" w:bidi="fa-IR"/>
        </w:rPr>
        <w:t>. Since the VIF</w:t>
      </w:r>
      <w:r w:rsidRPr="00594F2B">
        <w:rPr>
          <w:rFonts w:eastAsia="Calibri"/>
          <w:szCs w:val="24"/>
          <w:lang w:val="en-US" w:bidi="fa-IR"/>
        </w:rPr>
        <w:t xml:space="preserve"> value did not reach 3, </w:t>
      </w:r>
      <w:r w:rsidR="00D2434D" w:rsidRPr="00594F2B">
        <w:rPr>
          <w:rFonts w:eastAsia="Calibri"/>
          <w:szCs w:val="24"/>
          <w:lang w:val="en-US" w:bidi="fa-IR"/>
        </w:rPr>
        <w:t xml:space="preserve">we feel confident there is little threat </w:t>
      </w:r>
      <w:r w:rsidR="0023312F" w:rsidRPr="00594F2B">
        <w:rPr>
          <w:rFonts w:eastAsia="Calibri"/>
          <w:szCs w:val="24"/>
          <w:lang w:val="en-US" w:bidi="fa-IR"/>
        </w:rPr>
        <w:t>of</w:t>
      </w:r>
      <w:r w:rsidRPr="00594F2B">
        <w:rPr>
          <w:rFonts w:eastAsia="Calibri"/>
          <w:szCs w:val="24"/>
          <w:lang w:val="en-US" w:bidi="fa-IR"/>
        </w:rPr>
        <w:t xml:space="preserve"> multicollinearity</w:t>
      </w:r>
      <w:r w:rsidR="0023312F" w:rsidRPr="00594F2B">
        <w:rPr>
          <w:rFonts w:eastAsia="Calibri"/>
          <w:szCs w:val="24"/>
          <w:lang w:val="en-US" w:bidi="fa-IR"/>
        </w:rPr>
        <w:t xml:space="preserve"> in the data</w:t>
      </w:r>
      <w:r w:rsidRPr="00594F2B">
        <w:rPr>
          <w:rFonts w:eastAsia="Calibri"/>
          <w:szCs w:val="24"/>
          <w:lang w:val="en-US" w:bidi="fa-IR"/>
        </w:rPr>
        <w:t xml:space="preserve">. </w:t>
      </w:r>
      <w:r w:rsidR="008147CB" w:rsidRPr="00594F2B">
        <w:rPr>
          <w:rFonts w:eastAsia="Calibri"/>
          <w:szCs w:val="24"/>
          <w:lang w:val="en-US" w:bidi="fa-IR"/>
        </w:rPr>
        <w:t>The strong negative correlation between technological depth</w:t>
      </w:r>
      <w:r w:rsidR="00757202" w:rsidRPr="00594F2B">
        <w:rPr>
          <w:rFonts w:eastAsia="Calibri"/>
          <w:szCs w:val="24"/>
          <w:lang w:val="en-US" w:bidi="fa-IR"/>
        </w:rPr>
        <w:t xml:space="preserve"> and breadth reinforces a centr</w:t>
      </w:r>
      <w:r w:rsidR="008147CB" w:rsidRPr="00594F2B">
        <w:rPr>
          <w:rFonts w:eastAsia="Calibri"/>
          <w:szCs w:val="24"/>
          <w:lang w:val="en-US" w:bidi="fa-IR"/>
        </w:rPr>
        <w:t xml:space="preserve">al assertion of this paper that most </w:t>
      </w:r>
      <w:r w:rsidR="00B253AE" w:rsidRPr="00594F2B">
        <w:rPr>
          <w:rFonts w:eastAsia="Calibri"/>
          <w:szCs w:val="24"/>
          <w:lang w:val="en-US" w:bidi="fa-IR"/>
        </w:rPr>
        <w:t xml:space="preserve">alliance-seeking </w:t>
      </w:r>
      <w:r w:rsidR="004131A8" w:rsidRPr="00594F2B">
        <w:rPr>
          <w:rFonts w:eastAsia="Calibri"/>
          <w:szCs w:val="24"/>
          <w:lang w:val="en-US" w:bidi="fa-IR"/>
        </w:rPr>
        <w:t xml:space="preserve">biotech </w:t>
      </w:r>
      <w:r w:rsidR="008147CB" w:rsidRPr="00594F2B">
        <w:rPr>
          <w:rFonts w:eastAsia="Calibri"/>
          <w:szCs w:val="24"/>
          <w:lang w:val="en-US" w:bidi="fa-IR"/>
        </w:rPr>
        <w:t>firms cannot simultaneously increase the depth and expand the breadth of their knowledge-based resources</w:t>
      </w:r>
      <w:r w:rsidR="004A7012" w:rsidRPr="00DD5CAA">
        <w:rPr>
          <w:rStyle w:val="FootnoteReference"/>
          <w:rFonts w:eastAsia="Calibri"/>
        </w:rPr>
        <w:footnoteReference w:id="2"/>
      </w:r>
      <w:r w:rsidR="008147CB" w:rsidRPr="00594F2B">
        <w:rPr>
          <w:rFonts w:eastAsia="Calibri"/>
          <w:szCs w:val="24"/>
          <w:lang w:val="en-US" w:bidi="fa-IR"/>
        </w:rPr>
        <w:t>.</w:t>
      </w:r>
      <w:r w:rsidR="00B253AE" w:rsidRPr="00594F2B">
        <w:rPr>
          <w:rFonts w:eastAsia="Calibri"/>
          <w:szCs w:val="24"/>
          <w:lang w:val="en-US" w:bidi="fa-IR"/>
        </w:rPr>
        <w:t xml:space="preserve"> If they are so resource-rich to enjoy both a diversified and a specialized knowledge-base, they</w:t>
      </w:r>
      <w:r w:rsidR="0023312F" w:rsidRPr="00594F2B">
        <w:rPr>
          <w:rFonts w:eastAsia="Calibri"/>
          <w:szCs w:val="24"/>
          <w:lang w:val="en-US" w:bidi="fa-IR"/>
        </w:rPr>
        <w:t xml:space="preserve"> a</w:t>
      </w:r>
      <w:r w:rsidR="00B253AE" w:rsidRPr="00594F2B">
        <w:rPr>
          <w:rFonts w:eastAsia="Calibri"/>
          <w:szCs w:val="24"/>
          <w:lang w:val="en-US" w:bidi="fa-IR"/>
        </w:rPr>
        <w:t xml:space="preserve">re probably so large and </w:t>
      </w:r>
      <w:r w:rsidR="0023312F" w:rsidRPr="00594F2B">
        <w:rPr>
          <w:rFonts w:eastAsia="Calibri"/>
          <w:szCs w:val="24"/>
          <w:lang w:val="en-US" w:bidi="fa-IR"/>
        </w:rPr>
        <w:t xml:space="preserve">so </w:t>
      </w:r>
      <w:r w:rsidR="00B253AE" w:rsidRPr="00594F2B">
        <w:rPr>
          <w:rFonts w:eastAsia="Calibri"/>
          <w:szCs w:val="24"/>
          <w:lang w:val="en-US" w:bidi="fa-IR"/>
        </w:rPr>
        <w:t>established tha</w:t>
      </w:r>
      <w:r w:rsidR="00312BF1">
        <w:rPr>
          <w:rFonts w:eastAsia="Calibri"/>
          <w:szCs w:val="24"/>
          <w:lang w:val="en-US" w:bidi="fa-IR"/>
        </w:rPr>
        <w:t xml:space="preserve">t do </w:t>
      </w:r>
      <w:proofErr w:type="spellStart"/>
      <w:r w:rsidR="00312BF1">
        <w:rPr>
          <w:rFonts w:eastAsia="Calibri"/>
          <w:szCs w:val="24"/>
          <w:lang w:val="en-US" w:bidi="fa-IR"/>
        </w:rPr>
        <w:t>no</w:t>
      </w:r>
      <w:proofErr w:type="spellEnd"/>
      <w:r w:rsidR="00312BF1">
        <w:rPr>
          <w:rFonts w:eastAsia="Calibri"/>
          <w:szCs w:val="24"/>
          <w:lang w:val="en-US" w:bidi="fa-IR"/>
        </w:rPr>
        <w:t xml:space="preserve"> need alliances to gain </w:t>
      </w:r>
      <w:r w:rsidR="00B253AE" w:rsidRPr="00594F2B">
        <w:rPr>
          <w:rFonts w:eastAsia="Calibri"/>
          <w:szCs w:val="24"/>
          <w:lang w:val="en-US" w:bidi="fa-IR"/>
        </w:rPr>
        <w:t>financial capital</w:t>
      </w:r>
      <w:r w:rsidR="00312BF1">
        <w:rPr>
          <w:rFonts w:eastAsia="Calibri"/>
          <w:szCs w:val="24"/>
          <w:lang w:val="en-US" w:bidi="fa-IR"/>
        </w:rPr>
        <w:t>, and hence they would not appear in our study sample</w:t>
      </w:r>
      <w:r w:rsidR="00B253AE" w:rsidRPr="00594F2B">
        <w:rPr>
          <w:rFonts w:eastAsia="Calibri"/>
          <w:szCs w:val="24"/>
          <w:lang w:val="en-US" w:bidi="fa-IR"/>
        </w:rPr>
        <w:t>.</w:t>
      </w:r>
    </w:p>
    <w:p w14:paraId="1F065D0A" w14:textId="11BB1EC9" w:rsidR="004A7012" w:rsidRPr="00F95572" w:rsidRDefault="004A7012" w:rsidP="00196766">
      <w:pPr>
        <w:spacing w:line="480" w:lineRule="auto"/>
        <w:jc w:val="both"/>
        <w:rPr>
          <w:rFonts w:eastAsia="Calibri"/>
          <w:szCs w:val="24"/>
          <w:rtl/>
          <w:lang w:val="en-US" w:bidi="fa-IR"/>
        </w:rPr>
      </w:pPr>
      <w:r w:rsidRPr="00594F2B">
        <w:rPr>
          <w:rFonts w:eastAsia="Calibri"/>
          <w:szCs w:val="24"/>
          <w:lang w:val="en-US" w:bidi="fa-IR"/>
        </w:rPr>
        <w:t>Other correlation results also prove the earlier expectations of this study: The strong negative correlation between ‘alliance experience’ and ‘depth’ suggests that less-experienced and younger firms, well aware of their limited-resource, choose to invest in the depth rather than in the breadth dimension of knowledge-based resources. This notion is further reinforced by the positive correlation between ‘alliance experience’ and ‘</w:t>
      </w:r>
      <w:r w:rsidRPr="00594F2B">
        <w:rPr>
          <w:rFonts w:eastAsia="Calibri"/>
          <w:lang w:val="en-US"/>
        </w:rPr>
        <w:t xml:space="preserve">breadth’. In a nutshell, it seems that </w:t>
      </w:r>
      <w:r w:rsidR="00196766" w:rsidRPr="00594F2B">
        <w:rPr>
          <w:rFonts w:eastAsia="Calibri"/>
          <w:lang w:val="en-US"/>
        </w:rPr>
        <w:t xml:space="preserve">for biotech </w:t>
      </w:r>
      <w:r w:rsidR="00196766" w:rsidRPr="00F95572">
        <w:rPr>
          <w:rFonts w:eastAsia="Calibri"/>
          <w:lang w:val="en-US"/>
        </w:rPr>
        <w:t>managers, investment in technological focus comes before technological diversification.</w:t>
      </w:r>
      <w:r w:rsidR="00196766" w:rsidRPr="00F95572">
        <w:rPr>
          <w:rFonts w:eastAsia="Calibri"/>
          <w:szCs w:val="24"/>
          <w:lang w:val="en-US" w:bidi="fa-IR"/>
        </w:rPr>
        <w:t xml:space="preserve"> Consistent with this finding is that ‘slack’ is negatively correlated with </w:t>
      </w:r>
      <w:r w:rsidR="00196766" w:rsidRPr="00F95572">
        <w:rPr>
          <w:rFonts w:eastAsia="Calibri"/>
          <w:szCs w:val="24"/>
          <w:lang w:val="en-US" w:bidi="fa-IR"/>
        </w:rPr>
        <w:lastRenderedPageBreak/>
        <w:t>‘breadth’: Those biotech firms that had sufficient slack resources chose to (or could afford to) significantly diversify their knowledge portfolios.</w:t>
      </w:r>
    </w:p>
    <w:p w14:paraId="2A1F0370" w14:textId="029C3248" w:rsidR="008147CB" w:rsidRPr="00594F2B" w:rsidRDefault="005C4FA3" w:rsidP="005C4FA3">
      <w:pPr>
        <w:spacing w:line="480" w:lineRule="auto"/>
        <w:jc w:val="both"/>
        <w:rPr>
          <w:rFonts w:eastAsia="Calibri"/>
          <w:szCs w:val="24"/>
          <w:lang w:val="en-US" w:bidi="fa-IR"/>
        </w:rPr>
      </w:pPr>
      <w:r w:rsidRPr="00F95572">
        <w:rPr>
          <w:rFonts w:eastAsia="Calibri"/>
          <w:szCs w:val="24"/>
          <w:lang w:val="en-US" w:bidi="fa-IR"/>
        </w:rPr>
        <w:t>There is a significant positive correlation between ‘alliance experience’ and ‘stage of development of technology upon entering the alliance’. This is consistent with the findings of past research that as firms accrue more alliance experience, they are better able to protect and develop their technologies by themselves until later stages of development where they have the leverage to obtain better partnership terms from big pharma</w:t>
      </w:r>
      <w:r w:rsidRPr="00594F2B">
        <w:rPr>
          <w:rFonts w:eastAsia="Calibri"/>
          <w:szCs w:val="24"/>
          <w:lang w:val="en-US" w:bidi="fa-IR"/>
        </w:rPr>
        <w:t xml:space="preserve"> partners (e.g. Lerner and Merges, 1998). In the same line is the positive and significant correlation between ‘alliance experience’ and ‘firm size’. </w:t>
      </w:r>
    </w:p>
    <w:p w14:paraId="658B25FD" w14:textId="77777777" w:rsidR="00196766" w:rsidRPr="00594F2B" w:rsidRDefault="00196766" w:rsidP="008147CB">
      <w:pPr>
        <w:spacing w:line="480" w:lineRule="auto"/>
        <w:jc w:val="both"/>
        <w:rPr>
          <w:rFonts w:eastAsia="Calibri"/>
          <w:szCs w:val="24"/>
          <w:lang w:val="en-US" w:bidi="fa-IR"/>
        </w:rPr>
      </w:pPr>
    </w:p>
    <w:p w14:paraId="38ECC868" w14:textId="77777777" w:rsidR="00D85E04" w:rsidRPr="00594F2B" w:rsidRDefault="00D85E04" w:rsidP="00D85E04">
      <w:pPr>
        <w:spacing w:line="480" w:lineRule="auto"/>
        <w:jc w:val="center"/>
        <w:rPr>
          <w:rFonts w:eastAsia="Calibri"/>
          <w:lang w:val="en-US"/>
        </w:rPr>
      </w:pPr>
      <w:r w:rsidRPr="00594F2B">
        <w:rPr>
          <w:rFonts w:eastAsia="Calibri"/>
          <w:szCs w:val="24"/>
          <w:lang w:val="en-US" w:bidi="fa-IR"/>
        </w:rPr>
        <w:t>==================</w:t>
      </w:r>
    </w:p>
    <w:p w14:paraId="6ED0FEF7" w14:textId="4E7B31FF" w:rsidR="00D85E04" w:rsidRPr="00594F2B" w:rsidRDefault="00D85E04" w:rsidP="00D85E04">
      <w:pPr>
        <w:spacing w:line="480" w:lineRule="auto"/>
        <w:jc w:val="center"/>
        <w:rPr>
          <w:rFonts w:eastAsia="Calibri"/>
          <w:szCs w:val="24"/>
          <w:lang w:val="en-US" w:bidi="fa-IR"/>
        </w:rPr>
      </w:pPr>
      <w:r w:rsidRPr="00594F2B">
        <w:rPr>
          <w:rFonts w:eastAsia="Calibri"/>
          <w:szCs w:val="24"/>
          <w:lang w:val="en-US" w:bidi="fa-IR"/>
        </w:rPr>
        <w:t>Insert table 1 around here</w:t>
      </w:r>
    </w:p>
    <w:p w14:paraId="62D24AFB" w14:textId="77777777" w:rsidR="00D85E04" w:rsidRPr="00594F2B" w:rsidRDefault="00D85E04" w:rsidP="00D85E04">
      <w:pPr>
        <w:spacing w:line="480" w:lineRule="auto"/>
        <w:jc w:val="center"/>
        <w:rPr>
          <w:rFonts w:eastAsia="Calibri"/>
          <w:szCs w:val="24"/>
          <w:lang w:val="en-US" w:bidi="fa-IR"/>
        </w:rPr>
      </w:pPr>
      <w:r w:rsidRPr="00594F2B">
        <w:rPr>
          <w:rFonts w:eastAsia="Calibri"/>
          <w:szCs w:val="24"/>
          <w:lang w:val="en-US" w:bidi="fa-IR"/>
        </w:rPr>
        <w:t>==================</w:t>
      </w:r>
    </w:p>
    <w:p w14:paraId="1973E0E6" w14:textId="77777777" w:rsidR="00D85E04" w:rsidRPr="00594F2B" w:rsidRDefault="00D85E04" w:rsidP="00D85E04">
      <w:pPr>
        <w:spacing w:line="480" w:lineRule="auto"/>
        <w:jc w:val="both"/>
        <w:rPr>
          <w:rFonts w:eastAsia="Calibri"/>
          <w:szCs w:val="24"/>
          <w:lang w:val="en-US" w:bidi="fa-IR"/>
        </w:rPr>
      </w:pPr>
    </w:p>
    <w:p w14:paraId="027694D2" w14:textId="77777777" w:rsidR="00312BF1" w:rsidRPr="00F95572" w:rsidRDefault="00765D3D" w:rsidP="00312BF1">
      <w:pPr>
        <w:spacing w:line="480" w:lineRule="auto"/>
        <w:jc w:val="both"/>
        <w:rPr>
          <w:rFonts w:eastAsia="Calibri"/>
          <w:szCs w:val="24"/>
          <w:lang w:val="en-US" w:bidi="fa-IR"/>
        </w:rPr>
      </w:pPr>
      <w:r w:rsidRPr="00594F2B">
        <w:rPr>
          <w:rFonts w:eastAsia="Calibri"/>
          <w:szCs w:val="24"/>
          <w:lang w:val="en-US" w:bidi="fa-IR"/>
        </w:rPr>
        <w:t>Table 2 present</w:t>
      </w:r>
      <w:r w:rsidR="008147CB" w:rsidRPr="00594F2B">
        <w:rPr>
          <w:rFonts w:eastAsia="Calibri"/>
          <w:szCs w:val="24"/>
          <w:lang w:val="en-US" w:bidi="fa-IR"/>
        </w:rPr>
        <w:t>s</w:t>
      </w:r>
      <w:r w:rsidRPr="00594F2B">
        <w:rPr>
          <w:rFonts w:eastAsia="Calibri"/>
          <w:szCs w:val="24"/>
          <w:lang w:val="en-US" w:bidi="fa-IR"/>
        </w:rPr>
        <w:t xml:space="preserve"> the results </w:t>
      </w:r>
      <w:r w:rsidR="00D85E04" w:rsidRPr="00594F2B">
        <w:rPr>
          <w:rFonts w:eastAsia="Calibri"/>
          <w:szCs w:val="24"/>
          <w:lang w:val="en-US" w:bidi="fa-IR"/>
        </w:rPr>
        <w:t>of</w:t>
      </w:r>
      <w:r w:rsidR="00AD5850" w:rsidRPr="00594F2B">
        <w:rPr>
          <w:rFonts w:eastAsia="Calibri"/>
          <w:szCs w:val="24"/>
          <w:lang w:val="en-US" w:bidi="fa-IR"/>
        </w:rPr>
        <w:t xml:space="preserve"> </w:t>
      </w:r>
      <w:r w:rsidR="004131A8" w:rsidRPr="00594F2B">
        <w:rPr>
          <w:rFonts w:eastAsia="Calibri"/>
          <w:szCs w:val="24"/>
          <w:lang w:val="en-US" w:bidi="fa-IR"/>
        </w:rPr>
        <w:t>the</w:t>
      </w:r>
      <w:r w:rsidR="00D85E04" w:rsidRPr="00594F2B">
        <w:rPr>
          <w:rFonts w:eastAsia="Calibri"/>
          <w:szCs w:val="24"/>
          <w:lang w:val="en-US" w:bidi="fa-IR"/>
        </w:rPr>
        <w:t xml:space="preserve"> hierarchical linear regressions. </w:t>
      </w:r>
      <w:r w:rsidR="005C4FA3" w:rsidRPr="00594F2B">
        <w:rPr>
          <w:rFonts w:eastAsia="Calibri"/>
          <w:szCs w:val="24"/>
          <w:lang w:val="en-US" w:bidi="fa-IR"/>
        </w:rPr>
        <w:t xml:space="preserve">Since the dependent variable, financial capital, is a </w:t>
      </w:r>
      <w:r w:rsidR="00701FF8" w:rsidRPr="00594F2B">
        <w:rPr>
          <w:rFonts w:eastAsia="Calibri"/>
          <w:szCs w:val="24"/>
          <w:lang w:val="en-US" w:bidi="fa-IR"/>
        </w:rPr>
        <w:t>continuous</w:t>
      </w:r>
      <w:r w:rsidR="005C4FA3" w:rsidRPr="00594F2B">
        <w:rPr>
          <w:rFonts w:eastAsia="Calibri"/>
          <w:szCs w:val="24"/>
          <w:lang w:val="en-US" w:bidi="fa-IR"/>
        </w:rPr>
        <w:t xml:space="preserve"> variable, we used linear regression, with a </w:t>
      </w:r>
      <w:r w:rsidR="00701FF8" w:rsidRPr="00594F2B">
        <w:rPr>
          <w:rFonts w:eastAsia="Calibri"/>
          <w:szCs w:val="24"/>
          <w:lang w:val="en-US" w:bidi="fa-IR"/>
        </w:rPr>
        <w:t>hierarchical</w:t>
      </w:r>
      <w:r w:rsidR="005C4FA3" w:rsidRPr="00594F2B">
        <w:rPr>
          <w:rFonts w:eastAsia="Calibri"/>
          <w:szCs w:val="24"/>
          <w:lang w:val="en-US" w:bidi="fa-IR"/>
        </w:rPr>
        <w:t xml:space="preserve"> mode of entering independent variables: Starting with control v</w:t>
      </w:r>
      <w:r w:rsidR="00312BF1">
        <w:rPr>
          <w:rFonts w:eastAsia="Calibri"/>
          <w:szCs w:val="24"/>
          <w:lang w:val="en-US" w:bidi="fa-IR"/>
        </w:rPr>
        <w:t>ariables in a base model and</w:t>
      </w:r>
      <w:r w:rsidR="005C4FA3" w:rsidRPr="00594F2B">
        <w:rPr>
          <w:rFonts w:eastAsia="Calibri"/>
          <w:szCs w:val="24"/>
          <w:lang w:val="en-US" w:bidi="fa-IR"/>
        </w:rPr>
        <w:t xml:space="preserve"> entering the research variables in the next step</w:t>
      </w:r>
      <w:r w:rsidR="00312BF1">
        <w:rPr>
          <w:rFonts w:eastAsia="Calibri"/>
          <w:szCs w:val="24"/>
          <w:lang w:val="en-US" w:bidi="fa-IR"/>
        </w:rPr>
        <w:t>.</w:t>
      </w:r>
      <w:r w:rsidR="005C4FA3" w:rsidRPr="00594F2B">
        <w:rPr>
          <w:rFonts w:eastAsia="Calibri"/>
          <w:szCs w:val="24"/>
          <w:lang w:val="en-US" w:bidi="fa-IR"/>
        </w:rPr>
        <w:t xml:space="preserve"> </w:t>
      </w:r>
      <w:r w:rsidR="00312BF1">
        <w:rPr>
          <w:rFonts w:eastAsia="Calibri"/>
          <w:szCs w:val="24"/>
          <w:lang w:val="en-US" w:bidi="fa-IR"/>
        </w:rPr>
        <w:t>We insert all</w:t>
      </w:r>
      <w:r w:rsidR="005C4FA3" w:rsidRPr="00594F2B">
        <w:rPr>
          <w:rFonts w:eastAsia="Calibri"/>
          <w:szCs w:val="24"/>
          <w:lang w:val="en-US" w:bidi="fa-IR"/>
        </w:rPr>
        <w:t xml:space="preserve"> the interaction terms</w:t>
      </w:r>
      <w:r w:rsidR="00312BF1">
        <w:rPr>
          <w:rFonts w:eastAsia="Calibri"/>
          <w:szCs w:val="24"/>
          <w:lang w:val="en-US" w:bidi="fa-IR"/>
        </w:rPr>
        <w:t xml:space="preserve"> together in a subsequent model</w:t>
      </w:r>
      <w:r w:rsidR="005C4FA3" w:rsidRPr="00594F2B">
        <w:rPr>
          <w:rFonts w:eastAsia="Calibri"/>
          <w:szCs w:val="24"/>
          <w:lang w:val="en-US" w:bidi="fa-IR"/>
        </w:rPr>
        <w:t xml:space="preserve"> </w:t>
      </w:r>
      <w:r w:rsidR="00701FF8" w:rsidRPr="00594F2B">
        <w:rPr>
          <w:rFonts w:eastAsia="Calibri"/>
          <w:szCs w:val="24"/>
          <w:lang w:val="en-US" w:bidi="fa-IR"/>
        </w:rPr>
        <w:t>(</w:t>
      </w:r>
      <m:oMath>
        <m:r>
          <w:rPr>
            <w:rFonts w:ascii="Cambria Math" w:eastAsia="Calibri" w:hAnsi="Cambria Math"/>
            <w:szCs w:val="24"/>
            <w:lang w:val="en-US" w:bidi="fa-IR"/>
          </w:rPr>
          <m:t>Depth×Stage</m:t>
        </m:r>
      </m:oMath>
      <w:r w:rsidR="00312BF1">
        <w:rPr>
          <w:rFonts w:eastAsia="Calibri"/>
          <w:szCs w:val="24"/>
          <w:lang w:val="en-US" w:bidi="fa-IR"/>
        </w:rPr>
        <w:t xml:space="preserve">, </w:t>
      </w:r>
      <m:oMath>
        <m:r>
          <w:rPr>
            <w:rFonts w:ascii="Cambria Math" w:eastAsia="Calibri" w:hAnsi="Cambria Math"/>
            <w:szCs w:val="24"/>
            <w:lang w:val="en-US" w:bidi="fa-IR"/>
          </w:rPr>
          <m:t>Breadth×Stage,</m:t>
        </m:r>
      </m:oMath>
      <w:r w:rsidR="00312BF1">
        <w:rPr>
          <w:rFonts w:eastAsia="Calibri"/>
          <w:szCs w:val="24"/>
          <w:lang w:val="en-US" w:bidi="fa-IR"/>
        </w:rPr>
        <w:t xml:space="preserve"> </w:t>
      </w:r>
      <m:oMath>
        <m:r>
          <w:rPr>
            <w:rFonts w:ascii="Cambria Math" w:eastAsia="Calibri" w:hAnsi="Cambria Math"/>
            <w:szCs w:val="24"/>
            <w:lang w:val="en-US" w:bidi="fa-IR"/>
          </w:rPr>
          <m:t>Depth×EquityStructure ,</m:t>
        </m:r>
      </m:oMath>
      <w:r w:rsidR="00701FF8" w:rsidRPr="00594F2B">
        <w:rPr>
          <w:rFonts w:eastAsia="Calibri"/>
          <w:szCs w:val="24"/>
          <w:lang w:val="en-US" w:bidi="fa-IR"/>
        </w:rPr>
        <w:t xml:space="preserve"> </w:t>
      </w:r>
      <w:r w:rsidR="00312BF1">
        <w:rPr>
          <w:rFonts w:eastAsia="Calibri"/>
          <w:szCs w:val="24"/>
          <w:lang w:val="en-US" w:bidi="fa-IR"/>
        </w:rPr>
        <w:t xml:space="preserve"> </w:t>
      </w:r>
      <m:oMath>
        <m:r>
          <w:rPr>
            <w:rFonts w:ascii="Cambria Math" w:eastAsia="Calibri" w:hAnsi="Cambria Math"/>
            <w:szCs w:val="24"/>
            <w:lang w:val="en-US" w:bidi="fa-IR"/>
          </w:rPr>
          <m:t>Breadth×EquityStructure)</m:t>
        </m:r>
      </m:oMath>
      <w:r w:rsidR="00701FF8" w:rsidRPr="00594F2B">
        <w:rPr>
          <w:rFonts w:eastAsia="Calibri"/>
          <w:szCs w:val="24"/>
          <w:lang w:val="en-US" w:bidi="fa-IR"/>
        </w:rPr>
        <w:t xml:space="preserve">; because an interaction effect only exists if the interaction term gives a significant contribution over and above the direct effects of the independent variables. </w:t>
      </w:r>
      <w:r w:rsidR="00312BF1">
        <w:rPr>
          <w:rFonts w:eastAsia="Calibri"/>
          <w:szCs w:val="24"/>
          <w:lang w:val="en-US" w:bidi="fa-IR"/>
        </w:rPr>
        <w:t xml:space="preserve">When the two companies are negotiating the terms of the partnership, both the amount of financial capital and the governance structure (equity-based or not) are </w:t>
      </w:r>
      <w:r w:rsidR="00312BF1" w:rsidRPr="00F95572">
        <w:rPr>
          <w:rFonts w:eastAsia="Calibri"/>
          <w:szCs w:val="24"/>
          <w:lang w:val="en-US" w:bidi="fa-IR"/>
        </w:rPr>
        <w:t>specified and agreed upon at the time of signing the contract.</w:t>
      </w:r>
    </w:p>
    <w:p w14:paraId="02B109A2" w14:textId="6C21A477" w:rsidR="007D07F2" w:rsidRPr="00594F2B" w:rsidRDefault="007D07F2" w:rsidP="00312BF1">
      <w:pPr>
        <w:spacing w:line="480" w:lineRule="auto"/>
        <w:jc w:val="both"/>
        <w:rPr>
          <w:rFonts w:eastAsia="Calibri"/>
          <w:szCs w:val="24"/>
          <w:lang w:val="en-US" w:bidi="fa-IR"/>
        </w:rPr>
      </w:pPr>
      <w:r w:rsidRPr="00F95572">
        <w:rPr>
          <w:rFonts w:eastAsia="Calibri"/>
          <w:szCs w:val="24"/>
          <w:lang w:val="en-US" w:bidi="fa-IR"/>
        </w:rPr>
        <w:lastRenderedPageBreak/>
        <w:t>Two of the control variables, namely ‘firm size’ and ‘firm’s slack resources’</w:t>
      </w:r>
      <w:r w:rsidR="00312BF1" w:rsidRPr="00F95572">
        <w:rPr>
          <w:rFonts w:eastAsia="Calibri"/>
          <w:szCs w:val="24"/>
          <w:lang w:val="en-US" w:bidi="fa-IR"/>
        </w:rPr>
        <w:t>,</w:t>
      </w:r>
      <w:r w:rsidRPr="00F95572">
        <w:rPr>
          <w:rFonts w:eastAsia="Calibri"/>
          <w:szCs w:val="24"/>
          <w:lang w:val="en-US" w:bidi="fa-IR"/>
        </w:rPr>
        <w:t xml:space="preserve"> have a positive and significant coefficient in the regression models. This seems to indicate that the smaller the firm’s size or the size of its slack resources, the less money it is able to collect from big pharma partners, consistent w</w:t>
      </w:r>
      <w:r w:rsidR="009767F6" w:rsidRPr="00F95572">
        <w:rPr>
          <w:rFonts w:eastAsia="Calibri"/>
          <w:szCs w:val="24"/>
          <w:lang w:val="en-US" w:bidi="fa-IR"/>
        </w:rPr>
        <w:t>ith earlier</w:t>
      </w:r>
      <w:r w:rsidR="009767F6" w:rsidRPr="00594F2B">
        <w:rPr>
          <w:rFonts w:eastAsia="Calibri"/>
          <w:szCs w:val="24"/>
          <w:lang w:val="en-US" w:bidi="fa-IR"/>
        </w:rPr>
        <w:t xml:space="preserve"> research (e.g. </w:t>
      </w:r>
      <w:r w:rsidR="009767F6" w:rsidRPr="00594F2B">
        <w:rPr>
          <w:szCs w:val="24"/>
          <w:lang w:val="en-US" w:bidi="fa-IR"/>
        </w:rPr>
        <w:t xml:space="preserve">Gopalakrishnan, </w:t>
      </w:r>
      <w:proofErr w:type="spellStart"/>
      <w:r w:rsidR="009767F6" w:rsidRPr="00594F2B">
        <w:rPr>
          <w:szCs w:val="24"/>
          <w:lang w:val="en-US" w:bidi="fa-IR"/>
        </w:rPr>
        <w:t>Scilliotoe</w:t>
      </w:r>
      <w:proofErr w:type="spellEnd"/>
      <w:r w:rsidR="009767F6" w:rsidRPr="00594F2B">
        <w:rPr>
          <w:szCs w:val="24"/>
          <w:lang w:val="en-US" w:bidi="fa-IR"/>
        </w:rPr>
        <w:t xml:space="preserve"> and Santoro, 2008; Lerner and Merges, 1998).</w:t>
      </w:r>
    </w:p>
    <w:p w14:paraId="512B8112" w14:textId="1D4500A8" w:rsidR="00061AF1" w:rsidRPr="00D21B90" w:rsidRDefault="009767F6" w:rsidP="00F95572">
      <w:pPr>
        <w:spacing w:line="480" w:lineRule="auto"/>
        <w:jc w:val="both"/>
        <w:rPr>
          <w:rFonts w:eastAsia="Calibri"/>
          <w:szCs w:val="24"/>
          <w:lang w:val="en-US" w:bidi="fa-IR"/>
        </w:rPr>
      </w:pPr>
      <w:r w:rsidRPr="00D21B90">
        <w:rPr>
          <w:rFonts w:eastAsia="Calibri"/>
          <w:szCs w:val="24"/>
          <w:lang w:val="en-US" w:bidi="fa-IR"/>
        </w:rPr>
        <w:t xml:space="preserve">Results </w:t>
      </w:r>
      <w:r w:rsidR="001F103C" w:rsidRPr="00D21B90">
        <w:rPr>
          <w:rFonts w:eastAsia="Calibri"/>
          <w:szCs w:val="24"/>
          <w:lang w:val="en-US" w:bidi="fa-IR"/>
        </w:rPr>
        <w:t xml:space="preserve">of model 2 </w:t>
      </w:r>
      <w:r w:rsidRPr="00D21B90">
        <w:rPr>
          <w:rFonts w:eastAsia="Calibri"/>
          <w:szCs w:val="24"/>
          <w:lang w:val="en-US" w:bidi="fa-IR"/>
        </w:rPr>
        <w:t xml:space="preserve">indicate a significant positive association between depth and financial capital </w:t>
      </w:r>
      <m:oMath>
        <m:d>
          <m:dPr>
            <m:ctrlPr>
              <w:rPr>
                <w:rFonts w:ascii="Cambria Math" w:eastAsia="Calibri" w:hAnsi="Cambria Math"/>
                <w:i/>
                <w:szCs w:val="24"/>
                <w:lang w:val="en-US" w:bidi="fa-IR"/>
              </w:rPr>
            </m:ctrlPr>
          </m:dPr>
          <m:e>
            <m:r>
              <w:rPr>
                <w:rFonts w:ascii="Cambria Math" w:eastAsia="Calibri" w:hAnsi="Cambria Math"/>
                <w:szCs w:val="24"/>
                <w:lang w:val="en-US" w:bidi="fa-IR"/>
              </w:rPr>
              <m:t>β=0.425,  p&lt;0.05</m:t>
            </m:r>
          </m:e>
        </m:d>
      </m:oMath>
      <w:r w:rsidRPr="00D21B90">
        <w:rPr>
          <w:rFonts w:eastAsia="Calibri"/>
          <w:szCs w:val="24"/>
          <w:lang w:val="en-US" w:bidi="fa-IR"/>
        </w:rPr>
        <w:t xml:space="preserve">. This </w:t>
      </w:r>
      <w:r w:rsidR="00F95572" w:rsidRPr="00D21B90">
        <w:rPr>
          <w:rFonts w:eastAsia="Calibri"/>
          <w:szCs w:val="24"/>
          <w:lang w:val="en-US" w:bidi="fa-IR"/>
        </w:rPr>
        <w:t>lends</w:t>
      </w:r>
      <w:r w:rsidR="00061AF1" w:rsidRPr="00D21B90">
        <w:rPr>
          <w:rFonts w:eastAsia="Calibri"/>
          <w:szCs w:val="24"/>
          <w:lang w:val="en-US" w:bidi="fa-IR"/>
        </w:rPr>
        <w:t xml:space="preserve"> support for hypothesis 1: A b</w:t>
      </w:r>
      <w:r w:rsidRPr="00D21B90">
        <w:rPr>
          <w:rFonts w:eastAsia="Calibri"/>
          <w:szCs w:val="24"/>
          <w:lang w:val="en-US" w:bidi="fa-IR"/>
        </w:rPr>
        <w:t xml:space="preserve">iotech firm’s </w:t>
      </w:r>
      <w:r w:rsidR="00F879BB" w:rsidRPr="00D21B90">
        <w:rPr>
          <w:rFonts w:eastAsia="Calibri"/>
          <w:szCs w:val="24"/>
          <w:lang w:val="en-US" w:bidi="fa-IR"/>
        </w:rPr>
        <w:t xml:space="preserve">technological </w:t>
      </w:r>
      <w:r w:rsidR="001E411F" w:rsidRPr="00D21B90">
        <w:rPr>
          <w:rFonts w:eastAsia="Calibri"/>
          <w:szCs w:val="24"/>
          <w:lang w:val="en-US" w:bidi="fa-IR"/>
        </w:rPr>
        <w:t xml:space="preserve">depth </w:t>
      </w:r>
      <w:r w:rsidRPr="00D21B90">
        <w:rPr>
          <w:rFonts w:eastAsia="Calibri"/>
          <w:szCs w:val="24"/>
          <w:lang w:val="en-US" w:bidi="fa-IR"/>
        </w:rPr>
        <w:t xml:space="preserve">is </w:t>
      </w:r>
      <w:r w:rsidR="001E411F" w:rsidRPr="00D21B90">
        <w:rPr>
          <w:rFonts w:eastAsia="Calibri"/>
          <w:szCs w:val="24"/>
          <w:lang w:val="en-US" w:bidi="fa-IR"/>
        </w:rPr>
        <w:t>positivel</w:t>
      </w:r>
      <w:r w:rsidRPr="00D21B90">
        <w:rPr>
          <w:rFonts w:eastAsia="Calibri"/>
          <w:szCs w:val="24"/>
          <w:lang w:val="en-US" w:bidi="fa-IR"/>
        </w:rPr>
        <w:t xml:space="preserve">y related to the amount of financial capital it acquires from the big pharma partner upon alliance. </w:t>
      </w:r>
    </w:p>
    <w:p w14:paraId="2A7D839C" w14:textId="2D2D5A62" w:rsidR="001F103C" w:rsidRPr="00096B45" w:rsidRDefault="00061AF1" w:rsidP="00F95572">
      <w:pPr>
        <w:spacing w:line="480" w:lineRule="auto"/>
        <w:jc w:val="both"/>
        <w:rPr>
          <w:rFonts w:eastAsia="Calibri"/>
          <w:szCs w:val="24"/>
          <w:lang w:val="en-US" w:bidi="fa-IR"/>
        </w:rPr>
      </w:pPr>
      <w:r w:rsidRPr="00D21B90">
        <w:rPr>
          <w:rFonts w:eastAsia="Calibri"/>
          <w:szCs w:val="24"/>
          <w:lang w:val="en-US" w:bidi="fa-IR"/>
        </w:rPr>
        <w:t xml:space="preserve">The coefficient corresponding to technological breadth is negative and </w:t>
      </w:r>
      <w:r w:rsidR="007C4A2C" w:rsidRPr="00D21B90">
        <w:rPr>
          <w:rFonts w:eastAsia="Calibri"/>
          <w:szCs w:val="24"/>
          <w:lang w:val="en-US" w:bidi="fa-IR"/>
        </w:rPr>
        <w:t xml:space="preserve">significant </w:t>
      </w:r>
      <m:oMath>
        <m:d>
          <m:dPr>
            <m:ctrlPr>
              <w:rPr>
                <w:rFonts w:ascii="Cambria Math" w:eastAsia="Calibri" w:hAnsi="Cambria Math"/>
                <w:i/>
                <w:szCs w:val="24"/>
                <w:lang w:val="en-US" w:bidi="fa-IR"/>
              </w:rPr>
            </m:ctrlPr>
          </m:dPr>
          <m:e>
            <m:r>
              <w:rPr>
                <w:rFonts w:ascii="Cambria Math" w:eastAsia="Calibri" w:hAnsi="Cambria Math"/>
                <w:szCs w:val="24"/>
                <w:lang w:val="en-US" w:bidi="fa-IR"/>
              </w:rPr>
              <m:t>β=-0.376,  p&lt;0.01</m:t>
            </m:r>
          </m:e>
        </m:d>
      </m:oMath>
      <w:r w:rsidRPr="00D21B90">
        <w:rPr>
          <w:rFonts w:eastAsia="Calibri"/>
          <w:szCs w:val="24"/>
          <w:lang w:val="en-US" w:bidi="fa-IR"/>
        </w:rPr>
        <w:t xml:space="preserve">, and remains significant in </w:t>
      </w:r>
      <w:r w:rsidR="00F95572" w:rsidRPr="00D21B90">
        <w:rPr>
          <w:rFonts w:eastAsia="Calibri"/>
          <w:szCs w:val="24"/>
          <w:lang w:val="en-US" w:bidi="fa-IR"/>
        </w:rPr>
        <w:t>model 3 as well</w:t>
      </w:r>
      <w:r w:rsidRPr="00D21B90">
        <w:rPr>
          <w:rFonts w:eastAsia="Calibri"/>
          <w:szCs w:val="24"/>
          <w:lang w:val="en-US" w:bidi="fa-IR"/>
        </w:rPr>
        <w:t xml:space="preserve">. </w:t>
      </w:r>
      <w:r w:rsidR="007C4A2C" w:rsidRPr="00D21B90">
        <w:rPr>
          <w:rFonts w:eastAsia="Calibri"/>
          <w:szCs w:val="24"/>
          <w:lang w:val="en-US" w:bidi="fa-IR"/>
        </w:rPr>
        <w:t>This supports</w:t>
      </w:r>
      <w:r w:rsidRPr="00D21B90">
        <w:rPr>
          <w:rFonts w:eastAsia="Calibri"/>
          <w:szCs w:val="24"/>
          <w:lang w:val="en-US" w:bidi="fa-IR"/>
        </w:rPr>
        <w:t xml:space="preserve"> hypothesis 2, meaning that </w:t>
      </w:r>
      <w:r w:rsidR="009767F6" w:rsidRPr="00D21B90">
        <w:rPr>
          <w:rFonts w:eastAsia="Calibri"/>
          <w:szCs w:val="24"/>
          <w:lang w:val="en-US" w:bidi="fa-IR"/>
        </w:rPr>
        <w:t xml:space="preserve">we find proof that </w:t>
      </w:r>
      <w:r w:rsidRPr="00D21B90">
        <w:rPr>
          <w:rFonts w:eastAsia="Calibri"/>
          <w:szCs w:val="24"/>
          <w:lang w:val="en-US" w:bidi="fa-IR"/>
        </w:rPr>
        <w:t xml:space="preserve">a firm’s </w:t>
      </w:r>
      <w:r w:rsidR="00F879BB" w:rsidRPr="00D21B90">
        <w:rPr>
          <w:rFonts w:eastAsia="Calibri"/>
          <w:szCs w:val="24"/>
          <w:lang w:val="en-US" w:bidi="fa-IR"/>
        </w:rPr>
        <w:t xml:space="preserve">technological </w:t>
      </w:r>
      <w:r w:rsidR="001E411F" w:rsidRPr="00D21B90">
        <w:rPr>
          <w:rFonts w:eastAsia="Calibri"/>
          <w:szCs w:val="24"/>
          <w:lang w:val="en-US" w:bidi="fa-IR"/>
        </w:rPr>
        <w:t xml:space="preserve">breadth </w:t>
      </w:r>
      <w:r w:rsidR="009767F6" w:rsidRPr="00D21B90">
        <w:rPr>
          <w:rFonts w:eastAsia="Calibri"/>
          <w:szCs w:val="24"/>
          <w:lang w:val="en-US" w:bidi="fa-IR"/>
        </w:rPr>
        <w:t xml:space="preserve">is </w:t>
      </w:r>
      <w:r w:rsidR="001E411F" w:rsidRPr="00D21B90">
        <w:rPr>
          <w:rFonts w:eastAsia="Calibri"/>
          <w:szCs w:val="24"/>
          <w:lang w:val="en-US" w:bidi="fa-IR"/>
        </w:rPr>
        <w:t>negatively related to</w:t>
      </w:r>
      <w:r w:rsidRPr="00D21B90">
        <w:rPr>
          <w:rFonts w:eastAsia="Calibri"/>
          <w:szCs w:val="24"/>
          <w:lang w:val="en-US" w:bidi="fa-IR"/>
        </w:rPr>
        <w:t xml:space="preserve"> the amount of</w:t>
      </w:r>
      <w:r w:rsidR="001E411F" w:rsidRPr="00D21B90">
        <w:rPr>
          <w:rFonts w:eastAsia="Calibri"/>
          <w:szCs w:val="24"/>
          <w:lang w:val="en-US" w:bidi="fa-IR"/>
        </w:rPr>
        <w:t xml:space="preserve"> </w:t>
      </w:r>
      <w:r w:rsidR="009767F6" w:rsidRPr="00D21B90">
        <w:rPr>
          <w:rFonts w:eastAsia="Calibri"/>
          <w:szCs w:val="24"/>
          <w:lang w:val="en-US" w:bidi="fa-IR"/>
        </w:rPr>
        <w:t xml:space="preserve">financial </w:t>
      </w:r>
      <w:r w:rsidR="009767F6" w:rsidRPr="00096B45">
        <w:rPr>
          <w:rFonts w:eastAsia="Calibri"/>
          <w:szCs w:val="24"/>
          <w:lang w:val="en-US" w:bidi="fa-IR"/>
        </w:rPr>
        <w:t>capital</w:t>
      </w:r>
      <w:r w:rsidRPr="00096B45">
        <w:rPr>
          <w:rFonts w:eastAsia="Calibri"/>
          <w:szCs w:val="24"/>
          <w:lang w:val="en-US" w:bidi="fa-IR"/>
        </w:rPr>
        <w:t xml:space="preserve"> it collects in an alliance</w:t>
      </w:r>
      <w:r w:rsidR="009767F6" w:rsidRPr="00096B45">
        <w:rPr>
          <w:rFonts w:eastAsia="Calibri"/>
          <w:szCs w:val="24"/>
          <w:lang w:val="en-US" w:bidi="fa-IR"/>
        </w:rPr>
        <w:t>.</w:t>
      </w:r>
      <w:r w:rsidR="001E411F" w:rsidRPr="00096B45">
        <w:rPr>
          <w:rFonts w:eastAsia="Calibri"/>
          <w:szCs w:val="24"/>
          <w:lang w:val="en-US" w:bidi="fa-IR"/>
        </w:rPr>
        <w:t xml:space="preserve"> </w:t>
      </w:r>
      <w:r w:rsidR="001F103C" w:rsidRPr="00096B45">
        <w:rPr>
          <w:rFonts w:eastAsia="Calibri"/>
          <w:szCs w:val="24"/>
          <w:lang w:val="en-US" w:bidi="fa-IR"/>
        </w:rPr>
        <w:t>Also, the stage of development of technology has a significant and positive coefficient in model 2, as expected.</w:t>
      </w:r>
      <w:r w:rsidR="001E5DE4" w:rsidRPr="00096B45">
        <w:rPr>
          <w:rFonts w:eastAsia="Calibri"/>
          <w:szCs w:val="24"/>
          <w:lang w:val="en-US" w:bidi="fa-IR"/>
        </w:rPr>
        <w:t xml:space="preserve"> The same</w:t>
      </w:r>
      <w:r w:rsidR="00F95572" w:rsidRPr="00096B45">
        <w:rPr>
          <w:rFonts w:eastAsia="Calibri"/>
          <w:szCs w:val="24"/>
          <w:lang w:val="en-US" w:bidi="fa-IR"/>
        </w:rPr>
        <w:t xml:space="preserve"> goes for Equity type of alliance governance, which exhibits a significant and positive relationship with the dependent variable.</w:t>
      </w:r>
    </w:p>
    <w:p w14:paraId="0CBFFCBF" w14:textId="46F09770" w:rsidR="001E411F" w:rsidRDefault="00DD43F1" w:rsidP="00F65528">
      <w:pPr>
        <w:spacing w:line="480" w:lineRule="auto"/>
        <w:jc w:val="both"/>
        <w:rPr>
          <w:rFonts w:eastAsia="Calibri"/>
          <w:szCs w:val="24"/>
          <w:lang w:val="en-US" w:bidi="fa-IR"/>
        </w:rPr>
      </w:pPr>
      <w:r w:rsidRPr="00096B45">
        <w:rPr>
          <w:rFonts w:eastAsia="Calibri"/>
          <w:szCs w:val="24"/>
          <w:lang w:val="en-US" w:bidi="fa-IR"/>
        </w:rPr>
        <w:t>Model 3 included stage of technology development upon entering the alliance</w:t>
      </w:r>
      <w:r w:rsidR="00F95572" w:rsidRPr="00096B45">
        <w:rPr>
          <w:rFonts w:eastAsia="Calibri"/>
          <w:szCs w:val="24"/>
          <w:lang w:val="en-US" w:bidi="fa-IR"/>
        </w:rPr>
        <w:t>, as well as the binary variable for equity type of governance structure (value being 1 if equity-based, 0 otherwise)</w:t>
      </w:r>
      <w:r w:rsidRPr="00096B45">
        <w:rPr>
          <w:rFonts w:eastAsia="Calibri"/>
          <w:szCs w:val="24"/>
          <w:lang w:val="en-US" w:bidi="fa-IR"/>
        </w:rPr>
        <w:t xml:space="preserve">. </w:t>
      </w:r>
      <w:r w:rsidR="00946004" w:rsidRPr="00096B45">
        <w:rPr>
          <w:rFonts w:eastAsia="Calibri"/>
          <w:szCs w:val="24"/>
          <w:lang w:val="en-US" w:bidi="fa-IR"/>
        </w:rPr>
        <w:t xml:space="preserve">The interaction term </w:t>
      </w:r>
      <m:oMath>
        <m:r>
          <w:rPr>
            <w:rFonts w:ascii="Cambria Math" w:eastAsia="Calibri" w:hAnsi="Cambria Math"/>
            <w:szCs w:val="24"/>
            <w:lang w:val="en-US" w:bidi="fa-IR"/>
          </w:rPr>
          <m:t>Depth×Stage</m:t>
        </m:r>
      </m:oMath>
      <w:r w:rsidR="00946004" w:rsidRPr="00096B45">
        <w:rPr>
          <w:rFonts w:eastAsia="Calibri"/>
          <w:szCs w:val="24"/>
          <w:lang w:val="en-US" w:bidi="fa-IR"/>
        </w:rPr>
        <w:t xml:space="preserve"> </w:t>
      </w:r>
      <w:r w:rsidR="00D21B90" w:rsidRPr="00096B45">
        <w:rPr>
          <w:rFonts w:eastAsia="Calibri"/>
          <w:szCs w:val="24"/>
          <w:lang w:val="en-US" w:bidi="fa-IR"/>
        </w:rPr>
        <w:t>has</w:t>
      </w:r>
      <w:r w:rsidR="00D21B90">
        <w:rPr>
          <w:rFonts w:eastAsia="Calibri"/>
          <w:szCs w:val="24"/>
          <w:lang w:val="en-US" w:bidi="fa-IR"/>
        </w:rPr>
        <w:t xml:space="preserve"> a positive and statistically significant coefficient, suggesting that later stage technology combined with technological depth tend</w:t>
      </w:r>
      <w:r w:rsidR="00F65528">
        <w:rPr>
          <w:rFonts w:eastAsia="Calibri"/>
          <w:szCs w:val="24"/>
          <w:lang w:val="en-US" w:bidi="fa-IR"/>
        </w:rPr>
        <w:t>s</w:t>
      </w:r>
      <w:r w:rsidR="00D21B90">
        <w:rPr>
          <w:rFonts w:eastAsia="Calibri"/>
          <w:szCs w:val="24"/>
          <w:lang w:val="en-US" w:bidi="fa-IR"/>
        </w:rPr>
        <w:t xml:space="preserve"> to be associated with receiving more money in alliance</w:t>
      </w:r>
      <w:r w:rsidR="006D261D" w:rsidRPr="00594F2B">
        <w:rPr>
          <w:rFonts w:eastAsia="Calibri"/>
          <w:szCs w:val="24"/>
          <w:lang w:val="en-US" w:bidi="fa-IR"/>
        </w:rPr>
        <w:t>. Hence, hypothesis 3a is</w:t>
      </w:r>
      <w:r w:rsidR="00F65528">
        <w:rPr>
          <w:rFonts w:eastAsia="Calibri"/>
          <w:szCs w:val="24"/>
          <w:lang w:val="en-US" w:bidi="fa-IR"/>
        </w:rPr>
        <w:t xml:space="preserve"> </w:t>
      </w:r>
      <w:r w:rsidR="00D21B90">
        <w:rPr>
          <w:rFonts w:eastAsia="Calibri"/>
          <w:szCs w:val="24"/>
          <w:lang w:val="en-US" w:bidi="fa-IR"/>
        </w:rPr>
        <w:t>supported</w:t>
      </w:r>
      <w:r w:rsidR="006D261D" w:rsidRPr="00594F2B">
        <w:rPr>
          <w:rFonts w:eastAsia="Calibri"/>
          <w:szCs w:val="24"/>
          <w:lang w:val="en-US" w:bidi="fa-IR"/>
        </w:rPr>
        <w:t xml:space="preserve">. </w:t>
      </w:r>
      <w:r w:rsidR="00D21B90">
        <w:rPr>
          <w:rFonts w:eastAsia="Calibri"/>
          <w:szCs w:val="24"/>
          <w:lang w:val="en-US" w:bidi="fa-IR"/>
        </w:rPr>
        <w:t>As to hypothesis 3b, it is also supported because the</w:t>
      </w:r>
      <w:r w:rsidR="006D261D" w:rsidRPr="00594F2B">
        <w:rPr>
          <w:rFonts w:eastAsia="Calibri"/>
          <w:szCs w:val="24"/>
          <w:lang w:val="en-US" w:bidi="fa-IR"/>
        </w:rPr>
        <w:t xml:space="preserve"> interaction term </w:t>
      </w:r>
      <m:oMath>
        <m:r>
          <w:rPr>
            <w:rFonts w:ascii="Cambria Math" w:eastAsia="Calibri" w:hAnsi="Cambria Math"/>
            <w:szCs w:val="24"/>
            <w:lang w:val="en-US" w:bidi="fa-IR"/>
          </w:rPr>
          <m:t>Breadth×Stage</m:t>
        </m:r>
      </m:oMath>
      <w:r w:rsidR="006D261D" w:rsidRPr="00594F2B">
        <w:rPr>
          <w:rFonts w:eastAsia="Calibri"/>
          <w:szCs w:val="24"/>
          <w:lang w:val="en-US" w:bidi="fa-IR"/>
        </w:rPr>
        <w:t xml:space="preserve"> has a </w:t>
      </w:r>
      <w:r w:rsidR="00D21B90">
        <w:rPr>
          <w:rFonts w:eastAsia="Calibri"/>
          <w:szCs w:val="24"/>
          <w:lang w:val="en-US" w:bidi="fa-IR"/>
        </w:rPr>
        <w:t>very</w:t>
      </w:r>
      <w:r w:rsidR="00F95572">
        <w:rPr>
          <w:rFonts w:eastAsia="Calibri"/>
          <w:szCs w:val="24"/>
          <w:lang w:val="en-US" w:bidi="fa-IR"/>
        </w:rPr>
        <w:t xml:space="preserve"> </w:t>
      </w:r>
      <w:r w:rsidR="006D261D" w:rsidRPr="00594F2B">
        <w:rPr>
          <w:rFonts w:eastAsia="Calibri"/>
          <w:szCs w:val="24"/>
          <w:lang w:val="en-US" w:bidi="fa-IR"/>
        </w:rPr>
        <w:t xml:space="preserve">significant and positive coefficient </w:t>
      </w:r>
      <m:oMath>
        <m:d>
          <m:dPr>
            <m:ctrlPr>
              <w:rPr>
                <w:rFonts w:ascii="Cambria Math" w:eastAsia="Calibri" w:hAnsi="Cambria Math"/>
                <w:i/>
                <w:szCs w:val="24"/>
                <w:lang w:val="en-US" w:bidi="fa-IR"/>
              </w:rPr>
            </m:ctrlPr>
          </m:dPr>
          <m:e>
            <m:r>
              <w:rPr>
                <w:rFonts w:ascii="Cambria Math" w:eastAsia="Calibri" w:hAnsi="Cambria Math"/>
                <w:szCs w:val="24"/>
                <w:lang w:val="en-US" w:bidi="fa-IR"/>
              </w:rPr>
              <m:t>β=0.077,  p&lt;0.001</m:t>
            </m:r>
          </m:e>
        </m:d>
      </m:oMath>
      <w:r w:rsidR="00D21B90">
        <w:rPr>
          <w:rFonts w:eastAsia="Calibri"/>
          <w:szCs w:val="24"/>
          <w:lang w:val="en-US" w:bidi="fa-IR"/>
        </w:rPr>
        <w:t xml:space="preserve">.: </w:t>
      </w:r>
      <w:r w:rsidR="006D261D" w:rsidRPr="00594F2B">
        <w:rPr>
          <w:rFonts w:eastAsia="Calibri"/>
          <w:szCs w:val="24"/>
          <w:lang w:val="en-US" w:bidi="fa-IR"/>
        </w:rPr>
        <w:t xml:space="preserve">Interestingly, although technological breadth is associated to less money in alliances, those ‘broad’ firms which bring a well-developed technology to the alliance move towards collecting more money. </w:t>
      </w:r>
      <w:commentRangeStart w:id="4"/>
      <w:commentRangeEnd w:id="4"/>
    </w:p>
    <w:p w14:paraId="328F76A7" w14:textId="2A0991CB" w:rsidR="00F65528" w:rsidRPr="00594F2B" w:rsidRDefault="00F65528" w:rsidP="00F65528">
      <w:pPr>
        <w:spacing w:line="480" w:lineRule="auto"/>
        <w:jc w:val="both"/>
        <w:rPr>
          <w:rFonts w:eastAsia="Calibri"/>
          <w:szCs w:val="24"/>
          <w:lang w:val="en-US" w:bidi="fa-IR"/>
        </w:rPr>
      </w:pPr>
      <w:r>
        <w:rPr>
          <w:rFonts w:eastAsia="Calibri"/>
          <w:szCs w:val="24"/>
          <w:lang w:val="en-US" w:bidi="fa-IR"/>
        </w:rPr>
        <w:lastRenderedPageBreak/>
        <w:t>Finally, hypotheses 4a and 4b are not supported. Technological depth in an equity alliance does not seem to have a stronger relationship with acquired financial capital than a non-equity alliance. More interestingly, we find, with marginal statistical significance, the opposite of what we expected in hypothesis 4b: The negative relationship between technological breadth and acquired financial capital is even stronger when the alliance is equity-based. We’ll discuss these findings in the next section.</w:t>
      </w:r>
    </w:p>
    <w:p w14:paraId="66ADCE53" w14:textId="77777777" w:rsidR="004A7012" w:rsidRPr="00594F2B" w:rsidRDefault="004A7012" w:rsidP="001E411F">
      <w:pPr>
        <w:spacing w:line="480" w:lineRule="auto"/>
        <w:jc w:val="both"/>
        <w:rPr>
          <w:rFonts w:eastAsia="Calibri"/>
          <w:szCs w:val="24"/>
          <w:lang w:val="en-US" w:bidi="fa-IR"/>
        </w:rPr>
      </w:pPr>
    </w:p>
    <w:p w14:paraId="60FF9062" w14:textId="77777777" w:rsidR="00AF53F5" w:rsidRPr="00594F2B" w:rsidRDefault="00AF53F5" w:rsidP="00AF53F5">
      <w:pPr>
        <w:spacing w:line="480" w:lineRule="auto"/>
        <w:jc w:val="center"/>
        <w:rPr>
          <w:rFonts w:eastAsia="Calibri"/>
          <w:szCs w:val="24"/>
          <w:lang w:val="en-US" w:bidi="fa-IR"/>
        </w:rPr>
      </w:pPr>
      <w:r w:rsidRPr="00594F2B">
        <w:rPr>
          <w:rFonts w:eastAsia="Calibri"/>
          <w:szCs w:val="24"/>
          <w:lang w:val="en-US" w:bidi="fa-IR"/>
        </w:rPr>
        <w:t>==================</w:t>
      </w:r>
    </w:p>
    <w:p w14:paraId="4EB85731" w14:textId="760CBFC9" w:rsidR="00AF53F5" w:rsidRPr="00594F2B" w:rsidRDefault="00AF53F5" w:rsidP="00AF53F5">
      <w:pPr>
        <w:spacing w:line="480" w:lineRule="auto"/>
        <w:jc w:val="center"/>
        <w:rPr>
          <w:rFonts w:eastAsia="Calibri"/>
          <w:szCs w:val="24"/>
          <w:lang w:val="en-US" w:bidi="fa-IR"/>
        </w:rPr>
      </w:pPr>
      <w:r w:rsidRPr="00594F2B">
        <w:rPr>
          <w:rFonts w:eastAsia="Calibri"/>
          <w:szCs w:val="24"/>
          <w:lang w:val="en-US" w:bidi="fa-IR"/>
        </w:rPr>
        <w:t>Insert table 2 around here</w:t>
      </w:r>
    </w:p>
    <w:p w14:paraId="073E248C" w14:textId="6226734F" w:rsidR="00AF53F5" w:rsidRPr="00594F2B" w:rsidRDefault="00AF53F5" w:rsidP="00AF53F5">
      <w:pPr>
        <w:spacing w:line="480" w:lineRule="auto"/>
        <w:jc w:val="center"/>
        <w:rPr>
          <w:rFonts w:eastAsia="Calibri"/>
          <w:szCs w:val="24"/>
          <w:lang w:val="en-US" w:bidi="fa-IR"/>
        </w:rPr>
      </w:pPr>
      <w:r w:rsidRPr="00594F2B">
        <w:rPr>
          <w:rFonts w:eastAsia="Calibri"/>
          <w:szCs w:val="24"/>
          <w:lang w:val="en-US" w:bidi="fa-IR"/>
        </w:rPr>
        <w:t>==================</w:t>
      </w:r>
    </w:p>
    <w:p w14:paraId="16736F5C" w14:textId="77777777" w:rsidR="001E411F" w:rsidRPr="00594F2B" w:rsidRDefault="001E411F" w:rsidP="001E411F">
      <w:pPr>
        <w:pStyle w:val="ListParagraph"/>
        <w:spacing w:line="480" w:lineRule="auto"/>
        <w:ind w:left="360"/>
        <w:jc w:val="both"/>
        <w:rPr>
          <w:b/>
          <w:bCs/>
          <w:szCs w:val="24"/>
          <w:lang w:bidi="fa-IR"/>
        </w:rPr>
      </w:pPr>
    </w:p>
    <w:p w14:paraId="7474CAB0" w14:textId="5952E9E9" w:rsidR="00AF53F5" w:rsidRPr="00594F2B" w:rsidRDefault="0040707E" w:rsidP="00946004">
      <w:pPr>
        <w:keepNext/>
        <w:spacing w:line="480" w:lineRule="auto"/>
        <w:outlineLvl w:val="3"/>
        <w:rPr>
          <w:b/>
          <w:bCs/>
          <w:szCs w:val="24"/>
          <w:lang w:val="en-US" w:bidi="fa-IR"/>
        </w:rPr>
      </w:pPr>
      <w:r w:rsidRPr="00594F2B">
        <w:rPr>
          <w:b/>
          <w:bCs/>
          <w:szCs w:val="24"/>
          <w:lang w:val="en-US" w:bidi="fa-IR"/>
        </w:rPr>
        <w:t xml:space="preserve">Discussion and </w:t>
      </w:r>
      <w:r w:rsidR="00425019" w:rsidRPr="00594F2B">
        <w:rPr>
          <w:b/>
          <w:bCs/>
          <w:szCs w:val="24"/>
          <w:lang w:val="en-US" w:bidi="fa-IR"/>
        </w:rPr>
        <w:t>Conclusions</w:t>
      </w:r>
    </w:p>
    <w:p w14:paraId="50352275" w14:textId="1785581B" w:rsidR="0040707E" w:rsidRPr="00594F2B" w:rsidRDefault="0040707E" w:rsidP="006D2264">
      <w:pPr>
        <w:spacing w:line="480" w:lineRule="auto"/>
        <w:jc w:val="both"/>
        <w:rPr>
          <w:rFonts w:eastAsia="Calibri"/>
          <w:szCs w:val="24"/>
          <w:lang w:val="en-US" w:eastAsia="fa-IR" w:bidi="fa-IR"/>
        </w:rPr>
      </w:pPr>
      <w:r w:rsidRPr="00594F2B">
        <w:rPr>
          <w:rFonts w:eastAsia="Calibri"/>
          <w:szCs w:val="24"/>
          <w:lang w:val="en-US" w:eastAsia="fa-IR" w:bidi="fa-IR"/>
        </w:rPr>
        <w:t xml:space="preserve">This study sheds light on </w:t>
      </w:r>
      <w:r w:rsidR="00096B45">
        <w:rPr>
          <w:rFonts w:eastAsia="Calibri"/>
          <w:szCs w:val="24"/>
          <w:lang w:val="en-US" w:eastAsia="fa-IR" w:bidi="fa-IR"/>
        </w:rPr>
        <w:t>some</w:t>
      </w:r>
      <w:r w:rsidRPr="00594F2B">
        <w:rPr>
          <w:rFonts w:eastAsia="Calibri"/>
          <w:szCs w:val="24"/>
          <w:lang w:val="en-US" w:eastAsia="fa-IR" w:bidi="fa-IR"/>
        </w:rPr>
        <w:t xml:space="preserve"> less investigated relationship</w:t>
      </w:r>
      <w:r w:rsidR="00096B45">
        <w:rPr>
          <w:rFonts w:eastAsia="Calibri"/>
          <w:szCs w:val="24"/>
          <w:lang w:val="en-US" w:eastAsia="fa-IR" w:bidi="fa-IR"/>
        </w:rPr>
        <w:t>s</w:t>
      </w:r>
      <w:r w:rsidRPr="00594F2B">
        <w:rPr>
          <w:rFonts w:eastAsia="Calibri"/>
          <w:szCs w:val="24"/>
          <w:lang w:val="en-US" w:eastAsia="fa-IR" w:bidi="fa-IR"/>
        </w:rPr>
        <w:t xml:space="preserve"> between knowledge depth and breadth on the one hand and ability to raise financial capital in an alliance, on the other hand. We </w:t>
      </w:r>
      <w:r w:rsidR="00545AF9" w:rsidRPr="00594F2B">
        <w:rPr>
          <w:rFonts w:eastAsia="Calibri"/>
          <w:szCs w:val="24"/>
          <w:lang w:val="en-US" w:eastAsia="fa-IR" w:bidi="fa-IR"/>
        </w:rPr>
        <w:t xml:space="preserve">show </w:t>
      </w:r>
      <w:r w:rsidRPr="00594F2B">
        <w:rPr>
          <w:rFonts w:eastAsia="Calibri"/>
          <w:szCs w:val="24"/>
          <w:lang w:val="en-US" w:eastAsia="fa-IR" w:bidi="fa-IR"/>
        </w:rPr>
        <w:t xml:space="preserve">that </w:t>
      </w:r>
      <w:r w:rsidR="00545AF9" w:rsidRPr="00594F2B">
        <w:rPr>
          <w:rFonts w:eastAsia="Calibri"/>
          <w:szCs w:val="24"/>
          <w:lang w:val="en-US" w:eastAsia="fa-IR" w:bidi="fa-IR"/>
        </w:rPr>
        <w:t xml:space="preserve">knowledge plays a role and depth and breadth work in </w:t>
      </w:r>
      <w:r w:rsidRPr="00594F2B">
        <w:rPr>
          <w:rFonts w:eastAsia="Calibri"/>
          <w:szCs w:val="24"/>
          <w:lang w:val="en-US" w:eastAsia="fa-IR" w:bidi="fa-IR"/>
        </w:rPr>
        <w:t>opposing ways</w:t>
      </w:r>
      <w:r w:rsidR="00545AF9" w:rsidRPr="00594F2B">
        <w:rPr>
          <w:rFonts w:eastAsia="Calibri"/>
          <w:szCs w:val="24"/>
          <w:lang w:val="en-US" w:eastAsia="fa-IR" w:bidi="fa-IR"/>
        </w:rPr>
        <w:t xml:space="preserve"> in attracting financial capital.</w:t>
      </w:r>
      <w:r w:rsidRPr="00594F2B">
        <w:rPr>
          <w:rFonts w:eastAsia="Calibri"/>
          <w:szCs w:val="24"/>
          <w:lang w:val="en-US" w:eastAsia="fa-IR" w:bidi="fa-IR"/>
        </w:rPr>
        <w:t xml:space="preserve"> Consistent with the first hypothesis, our findings confirm that the deeper a </w:t>
      </w:r>
      <w:r w:rsidR="00746EAE" w:rsidRPr="00594F2B">
        <w:rPr>
          <w:rFonts w:eastAsia="Calibri"/>
          <w:szCs w:val="24"/>
          <w:lang w:val="en-US" w:eastAsia="fa-IR" w:bidi="fa-IR"/>
        </w:rPr>
        <w:t xml:space="preserve">biotech </w:t>
      </w:r>
      <w:r w:rsidRPr="00594F2B">
        <w:rPr>
          <w:rFonts w:eastAsia="Calibri"/>
          <w:szCs w:val="24"/>
          <w:lang w:val="en-US" w:eastAsia="fa-IR" w:bidi="fa-IR"/>
        </w:rPr>
        <w:t>firm’s technological knowledge base, the more money it will receive from the pharma partner.</w:t>
      </w:r>
      <w:r w:rsidR="00746EAE" w:rsidRPr="00594F2B">
        <w:rPr>
          <w:rFonts w:eastAsia="Calibri"/>
          <w:szCs w:val="24"/>
          <w:lang w:val="en-US" w:eastAsia="fa-IR" w:bidi="fa-IR"/>
        </w:rPr>
        <w:t xml:space="preserve"> This is particularly important as the small partner’s </w:t>
      </w:r>
      <w:r w:rsidR="00545AF9" w:rsidRPr="00594F2B">
        <w:rPr>
          <w:rFonts w:eastAsia="Calibri"/>
          <w:szCs w:val="24"/>
          <w:lang w:val="en-US" w:eastAsia="fa-IR" w:bidi="fa-IR"/>
        </w:rPr>
        <w:t xml:space="preserve">depth of </w:t>
      </w:r>
      <w:r w:rsidR="00746EAE" w:rsidRPr="00594F2B">
        <w:rPr>
          <w:rFonts w:eastAsia="Calibri"/>
          <w:szCs w:val="24"/>
          <w:lang w:val="en-US" w:eastAsia="fa-IR" w:bidi="fa-IR"/>
        </w:rPr>
        <w:t xml:space="preserve">knowledge </w:t>
      </w:r>
      <w:r w:rsidR="00545AF9" w:rsidRPr="00594F2B">
        <w:rPr>
          <w:rFonts w:eastAsia="Calibri"/>
          <w:szCs w:val="24"/>
          <w:lang w:val="en-US" w:eastAsia="fa-IR" w:bidi="fa-IR"/>
        </w:rPr>
        <w:t xml:space="preserve">within a </w:t>
      </w:r>
      <w:r w:rsidR="00746EAE" w:rsidRPr="00594F2B">
        <w:rPr>
          <w:rFonts w:eastAsia="Calibri"/>
          <w:szCs w:val="24"/>
          <w:lang w:val="en-US" w:eastAsia="fa-IR" w:bidi="fa-IR"/>
        </w:rPr>
        <w:t>technology</w:t>
      </w:r>
      <w:r w:rsidR="00545AF9" w:rsidRPr="00594F2B">
        <w:rPr>
          <w:rFonts w:eastAsia="Calibri"/>
          <w:szCs w:val="24"/>
          <w:lang w:val="en-US" w:eastAsia="fa-IR" w:bidi="fa-IR"/>
        </w:rPr>
        <w:t xml:space="preserve"> domain</w:t>
      </w:r>
      <w:r w:rsidR="00746EAE" w:rsidRPr="00594F2B">
        <w:rPr>
          <w:rFonts w:eastAsia="Calibri"/>
          <w:szCs w:val="24"/>
          <w:lang w:val="en-US" w:eastAsia="fa-IR" w:bidi="fa-IR"/>
        </w:rPr>
        <w:t xml:space="preserve"> is </w:t>
      </w:r>
      <w:r w:rsidR="00545AF9" w:rsidRPr="00594F2B">
        <w:rPr>
          <w:rFonts w:eastAsia="Calibri"/>
          <w:szCs w:val="24"/>
          <w:lang w:val="en-US" w:eastAsia="fa-IR" w:bidi="fa-IR"/>
        </w:rPr>
        <w:t>the</w:t>
      </w:r>
      <w:r w:rsidR="00746EAE" w:rsidRPr="00594F2B">
        <w:rPr>
          <w:rFonts w:eastAsia="Calibri"/>
          <w:szCs w:val="24"/>
          <w:lang w:val="en-US" w:eastAsia="fa-IR" w:bidi="fa-IR"/>
        </w:rPr>
        <w:t xml:space="preserve"> main resource </w:t>
      </w:r>
      <w:r w:rsidR="00545AF9" w:rsidRPr="00594F2B">
        <w:rPr>
          <w:rFonts w:eastAsia="Calibri"/>
          <w:szCs w:val="24"/>
          <w:lang w:val="en-US" w:eastAsia="fa-IR" w:bidi="fa-IR"/>
        </w:rPr>
        <w:t>that the biotech company has to leverage its position</w:t>
      </w:r>
      <w:r w:rsidR="00746EAE" w:rsidRPr="00594F2B">
        <w:rPr>
          <w:rFonts w:eastAsia="Calibri"/>
          <w:szCs w:val="24"/>
          <w:lang w:val="en-US" w:eastAsia="fa-IR" w:bidi="fa-IR"/>
        </w:rPr>
        <w:t xml:space="preserve"> in the formation of the alliance (</w:t>
      </w:r>
      <w:r w:rsidR="00096B45">
        <w:rPr>
          <w:rFonts w:eastAsia="Calibri"/>
          <w:szCs w:val="24"/>
          <w:lang w:val="en-US" w:eastAsia="fa-IR" w:bidi="fa-IR"/>
        </w:rPr>
        <w:t xml:space="preserve">Ahuja, 2000; </w:t>
      </w:r>
      <w:r w:rsidR="00746EAE" w:rsidRPr="00594F2B">
        <w:rPr>
          <w:rFonts w:eastAsia="Calibri"/>
          <w:szCs w:val="24"/>
          <w:lang w:val="en-US" w:eastAsia="fa-IR" w:bidi="fa-IR"/>
        </w:rPr>
        <w:t>Coo</w:t>
      </w:r>
      <w:r w:rsidR="00857405" w:rsidRPr="00594F2B">
        <w:rPr>
          <w:rFonts w:eastAsia="Calibri"/>
          <w:szCs w:val="24"/>
          <w:lang w:val="en-US" w:eastAsia="fa-IR" w:bidi="fa-IR"/>
        </w:rPr>
        <w:t xml:space="preserve">mbs </w:t>
      </w:r>
      <w:r w:rsidR="00096B45">
        <w:rPr>
          <w:rFonts w:eastAsia="Calibri"/>
          <w:szCs w:val="24"/>
          <w:lang w:val="en-US" w:eastAsia="fa-IR" w:bidi="fa-IR"/>
        </w:rPr>
        <w:t>&amp;</w:t>
      </w:r>
      <w:r w:rsidR="00857405" w:rsidRPr="00594F2B">
        <w:rPr>
          <w:rFonts w:eastAsia="Calibri"/>
          <w:szCs w:val="24"/>
          <w:lang w:val="en-US" w:eastAsia="fa-IR" w:bidi="fa-IR"/>
        </w:rPr>
        <w:t xml:space="preserve"> Deeds, 2000). In accordance</w:t>
      </w:r>
      <w:r w:rsidR="00746EAE" w:rsidRPr="00594F2B">
        <w:rPr>
          <w:rFonts w:eastAsia="Calibri"/>
          <w:szCs w:val="24"/>
          <w:lang w:val="en-US" w:eastAsia="fa-IR" w:bidi="fa-IR"/>
        </w:rPr>
        <w:t xml:space="preserve"> with the general view of biotechnology firms as specialized science-based organizations, our results suggest that the </w:t>
      </w:r>
      <w:r w:rsidR="001F103C" w:rsidRPr="00594F2B">
        <w:rPr>
          <w:rFonts w:eastAsia="Calibri"/>
          <w:szCs w:val="24"/>
          <w:lang w:val="en-US" w:eastAsia="fa-IR" w:bidi="fa-IR"/>
        </w:rPr>
        <w:t>‘</w:t>
      </w:r>
      <w:r w:rsidR="00746EAE" w:rsidRPr="00594F2B">
        <w:rPr>
          <w:rFonts w:eastAsia="Calibri"/>
          <w:szCs w:val="24"/>
          <w:lang w:val="en-US" w:eastAsia="fa-IR" w:bidi="fa-IR"/>
        </w:rPr>
        <w:t>deep knowledge</w:t>
      </w:r>
      <w:r w:rsidR="001F103C" w:rsidRPr="00594F2B">
        <w:rPr>
          <w:rFonts w:eastAsia="Calibri"/>
          <w:szCs w:val="24"/>
          <w:lang w:val="en-US" w:eastAsia="fa-IR" w:bidi="fa-IR"/>
        </w:rPr>
        <w:t>’</w:t>
      </w:r>
      <w:r w:rsidR="00746EAE" w:rsidRPr="00594F2B">
        <w:rPr>
          <w:rFonts w:eastAsia="Calibri"/>
          <w:szCs w:val="24"/>
          <w:lang w:val="en-US" w:eastAsia="fa-IR" w:bidi="fa-IR"/>
        </w:rPr>
        <w:t xml:space="preserve"> of the smaller biotechnology partner is particularly sought after and</w:t>
      </w:r>
      <w:r w:rsidR="00545AF9" w:rsidRPr="00594F2B">
        <w:rPr>
          <w:rFonts w:eastAsia="Calibri"/>
          <w:szCs w:val="24"/>
          <w:lang w:val="en-US" w:eastAsia="fa-IR" w:bidi="fa-IR"/>
        </w:rPr>
        <w:t xml:space="preserve"> is</w:t>
      </w:r>
      <w:r w:rsidR="00746EAE" w:rsidRPr="00594F2B">
        <w:rPr>
          <w:rFonts w:eastAsia="Calibri"/>
          <w:szCs w:val="24"/>
          <w:lang w:val="en-US" w:eastAsia="fa-IR" w:bidi="fa-IR"/>
        </w:rPr>
        <w:t xml:space="preserve"> deemed as valuable by the typically broad-based </w:t>
      </w:r>
      <w:r w:rsidR="00641904" w:rsidRPr="00594F2B">
        <w:rPr>
          <w:rFonts w:eastAsia="Calibri"/>
          <w:szCs w:val="24"/>
          <w:lang w:val="en-US" w:eastAsia="fa-IR" w:bidi="fa-IR"/>
        </w:rPr>
        <w:t>and large</w:t>
      </w:r>
      <w:r w:rsidR="00746EAE" w:rsidRPr="00594F2B">
        <w:rPr>
          <w:rFonts w:eastAsia="Calibri"/>
          <w:szCs w:val="24"/>
          <w:lang w:val="en-US" w:eastAsia="fa-IR" w:bidi="fa-IR"/>
        </w:rPr>
        <w:t xml:space="preserve"> pharma company.</w:t>
      </w:r>
      <w:r w:rsidR="001F103C" w:rsidRPr="00594F2B">
        <w:rPr>
          <w:rFonts w:eastAsia="Calibri"/>
          <w:szCs w:val="24"/>
          <w:lang w:val="en-US" w:eastAsia="fa-IR" w:bidi="fa-IR"/>
        </w:rPr>
        <w:t xml:space="preserve"> </w:t>
      </w:r>
    </w:p>
    <w:p w14:paraId="59CCAFD4" w14:textId="7767E6B7" w:rsidR="00641904" w:rsidRPr="00594F2B" w:rsidRDefault="001F103C" w:rsidP="001F103C">
      <w:pPr>
        <w:spacing w:line="480" w:lineRule="auto"/>
        <w:jc w:val="both"/>
        <w:rPr>
          <w:rFonts w:eastAsia="Calibri"/>
          <w:szCs w:val="24"/>
          <w:lang w:val="en-US" w:eastAsia="fa-IR" w:bidi="fa-IR"/>
        </w:rPr>
      </w:pPr>
      <w:r w:rsidRPr="00594F2B">
        <w:rPr>
          <w:rFonts w:eastAsia="Calibri"/>
          <w:szCs w:val="24"/>
          <w:lang w:val="en-US" w:eastAsia="fa-IR" w:bidi="fa-IR"/>
        </w:rPr>
        <w:t xml:space="preserve">The findings on the role of ‘technological breadth’ completed our understanding of the opposing impacts of depth versus breadth on the amount of financial capital raised in the alliance. </w:t>
      </w:r>
      <w:r w:rsidRPr="00594F2B">
        <w:rPr>
          <w:rFonts w:eastAsia="Calibri"/>
          <w:szCs w:val="24"/>
          <w:lang w:val="en-US" w:eastAsia="fa-IR" w:bidi="fa-IR"/>
        </w:rPr>
        <w:lastRenderedPageBreak/>
        <w:t xml:space="preserve">Technological-breadth is found to have an opposite effect than </w:t>
      </w:r>
      <w:proofErr w:type="gramStart"/>
      <w:r w:rsidRPr="00594F2B">
        <w:rPr>
          <w:rFonts w:eastAsia="Calibri"/>
          <w:szCs w:val="24"/>
          <w:lang w:val="en-US" w:eastAsia="fa-IR" w:bidi="fa-IR"/>
        </w:rPr>
        <w:t>depth, and</w:t>
      </w:r>
      <w:proofErr w:type="gramEnd"/>
      <w:r w:rsidRPr="00594F2B">
        <w:rPr>
          <w:rFonts w:eastAsia="Calibri"/>
          <w:szCs w:val="24"/>
          <w:lang w:val="en-US" w:eastAsia="fa-IR" w:bidi="fa-IR"/>
        </w:rPr>
        <w:t xml:space="preserve"> moves the firm towards acquiring less financial capital. </w:t>
      </w:r>
      <w:r w:rsidR="006D2264" w:rsidRPr="00594F2B">
        <w:rPr>
          <w:rFonts w:eastAsia="Calibri"/>
          <w:szCs w:val="24"/>
          <w:lang w:val="en-US" w:eastAsia="fa-IR" w:bidi="fa-IR"/>
        </w:rPr>
        <w:t xml:space="preserve">Not only being a ‘focused’ biotech firm is proven to be attractive for the big pharma, but also being ‘diversified’ (regardless of focus) has a </w:t>
      </w:r>
      <w:r w:rsidR="00692A0A" w:rsidRPr="00594F2B">
        <w:rPr>
          <w:rFonts w:eastAsia="Calibri"/>
          <w:szCs w:val="24"/>
          <w:lang w:val="en-US" w:eastAsia="fa-IR" w:bidi="fa-IR"/>
        </w:rPr>
        <w:t>negative</w:t>
      </w:r>
      <w:r w:rsidR="006D2264" w:rsidRPr="00594F2B">
        <w:rPr>
          <w:rFonts w:eastAsia="Calibri"/>
          <w:szCs w:val="24"/>
          <w:lang w:val="en-US" w:eastAsia="fa-IR" w:bidi="fa-IR"/>
        </w:rPr>
        <w:t xml:space="preserve"> effect on how much financial capital the big pharma partner is willing to invest upfront.</w:t>
      </w:r>
    </w:p>
    <w:p w14:paraId="48F017CB" w14:textId="1F9B478B" w:rsidR="006D2264" w:rsidRDefault="00F65528" w:rsidP="00DC0982">
      <w:pPr>
        <w:spacing w:line="480" w:lineRule="auto"/>
        <w:jc w:val="both"/>
        <w:rPr>
          <w:rFonts w:eastAsia="Calibri"/>
          <w:szCs w:val="24"/>
          <w:lang w:val="en-US" w:eastAsia="fa-IR" w:bidi="fa-IR"/>
        </w:rPr>
      </w:pPr>
      <w:r>
        <w:rPr>
          <w:rFonts w:eastAsia="Calibri"/>
          <w:szCs w:val="24"/>
          <w:lang w:val="en-US" w:eastAsia="fa-IR" w:bidi="fa-IR"/>
        </w:rPr>
        <w:t>Our finding regarding the moderating role of the</w:t>
      </w:r>
      <w:r w:rsidR="006D2264" w:rsidRPr="00594F2B">
        <w:rPr>
          <w:rFonts w:eastAsia="Calibri"/>
          <w:szCs w:val="24"/>
          <w:lang w:val="en-US" w:eastAsia="fa-IR" w:bidi="fa-IR"/>
        </w:rPr>
        <w:t xml:space="preserve"> stage of development of technology </w:t>
      </w:r>
      <w:r w:rsidR="00DC0982">
        <w:rPr>
          <w:rFonts w:eastAsia="Calibri"/>
          <w:szCs w:val="24"/>
          <w:lang w:val="en-US" w:eastAsia="fa-IR" w:bidi="fa-IR"/>
        </w:rPr>
        <w:t xml:space="preserve">said that later stage technologies </w:t>
      </w:r>
      <w:r w:rsidR="006D2264" w:rsidRPr="00594F2B">
        <w:rPr>
          <w:rFonts w:eastAsia="Calibri"/>
          <w:szCs w:val="24"/>
          <w:lang w:val="en-US" w:eastAsia="fa-IR" w:bidi="fa-IR"/>
        </w:rPr>
        <w:t xml:space="preserve">contributed to a firm’s ability to raise </w:t>
      </w:r>
      <w:r w:rsidR="00DC0982">
        <w:rPr>
          <w:rFonts w:eastAsia="Calibri"/>
          <w:szCs w:val="24"/>
          <w:lang w:val="en-US" w:eastAsia="fa-IR" w:bidi="fa-IR"/>
        </w:rPr>
        <w:t>funds, and the magnitude of this contribution was greater in the case of technological broad than depth</w:t>
      </w:r>
      <w:r w:rsidR="006D2264" w:rsidRPr="00594F2B">
        <w:rPr>
          <w:rFonts w:eastAsia="Calibri"/>
          <w:szCs w:val="24"/>
          <w:lang w:val="en-US" w:eastAsia="fa-IR" w:bidi="fa-IR"/>
        </w:rPr>
        <w:t xml:space="preserve">. This could mean that if the firm is technologically-deep enough, even with an early-stage technology the pharma firm would trust its ability to undertake rigorous and productive R&amp;D and hence would be willing to invest money in it. Whereas, if the firm is particularly broad, it needs to prove its expertise by bringing a concrete and tangible late-stage technology that is not so far from </w:t>
      </w:r>
      <w:r w:rsidR="00DC0982">
        <w:rPr>
          <w:rFonts w:eastAsia="Calibri"/>
          <w:szCs w:val="24"/>
          <w:lang w:val="en-US" w:eastAsia="fa-IR" w:bidi="fa-IR"/>
        </w:rPr>
        <w:t>a final product</w:t>
      </w:r>
      <w:r w:rsidR="006D2264" w:rsidRPr="00594F2B">
        <w:rPr>
          <w:rFonts w:eastAsia="Calibri"/>
          <w:szCs w:val="24"/>
          <w:lang w:val="en-US" w:eastAsia="fa-IR" w:bidi="fa-IR"/>
        </w:rPr>
        <w:t xml:space="preserve">. Only then, the big pharma is willing to finance the rest of this broad firm’s endeavor. </w:t>
      </w:r>
    </w:p>
    <w:p w14:paraId="231467F4" w14:textId="785BC9D4" w:rsidR="00DC0982" w:rsidRPr="00594F2B" w:rsidRDefault="00DC0982" w:rsidP="00DC0982">
      <w:pPr>
        <w:spacing w:line="480" w:lineRule="auto"/>
        <w:jc w:val="both"/>
        <w:rPr>
          <w:rFonts w:eastAsia="Calibri"/>
          <w:szCs w:val="24"/>
          <w:lang w:val="en-US" w:eastAsia="fa-IR" w:bidi="fa-IR"/>
        </w:rPr>
      </w:pPr>
      <w:r>
        <w:rPr>
          <w:rFonts w:eastAsia="Calibri"/>
          <w:szCs w:val="24"/>
          <w:lang w:val="en-US" w:eastAsia="fa-IR" w:bidi="fa-IR"/>
        </w:rPr>
        <w:t>As to the structure of alliance governance, our results suggest that regardless of any exchange of equity, technological depth has an independent relationship with the acquired financial capital in the alliance. More surprisingly, when the alliance is governed by an equity relationship, technological breadth is even more punishing for a biotechnology firm as it shows an even stronger negative relationship with the amount of financial capital acquired. This could mean that for pharma companies the technological breadth of a biotechnology firm is an indicator of a risky or a less attractive investment opportunity.</w:t>
      </w:r>
    </w:p>
    <w:p w14:paraId="00B5203A" w14:textId="77777777" w:rsidR="00096B45" w:rsidRPr="00594F2B" w:rsidRDefault="00096B45" w:rsidP="0040707E">
      <w:pPr>
        <w:spacing w:line="480" w:lineRule="auto"/>
        <w:jc w:val="both"/>
        <w:rPr>
          <w:rFonts w:eastAsia="Calibri"/>
          <w:szCs w:val="24"/>
          <w:lang w:val="en-US" w:eastAsia="fa-IR" w:bidi="fa-IR"/>
        </w:rPr>
      </w:pPr>
    </w:p>
    <w:p w14:paraId="1D4BA63B" w14:textId="2F4E6609" w:rsidR="0040707E" w:rsidRPr="00594F2B" w:rsidRDefault="0040707E" w:rsidP="0040707E">
      <w:pPr>
        <w:spacing w:line="480" w:lineRule="auto"/>
        <w:jc w:val="both"/>
        <w:rPr>
          <w:rFonts w:eastAsia="Calibri"/>
          <w:b/>
          <w:bCs/>
          <w:i/>
          <w:iCs/>
          <w:szCs w:val="24"/>
          <w:lang w:val="en-US" w:eastAsia="fa-IR" w:bidi="fa-IR"/>
        </w:rPr>
      </w:pPr>
      <w:r w:rsidRPr="00594F2B">
        <w:rPr>
          <w:rFonts w:eastAsia="Calibri"/>
          <w:b/>
          <w:bCs/>
          <w:i/>
          <w:iCs/>
          <w:szCs w:val="24"/>
          <w:lang w:val="en-US" w:eastAsia="fa-IR" w:bidi="fa-IR"/>
        </w:rPr>
        <w:t>Contributions</w:t>
      </w:r>
      <w:r w:rsidR="006D2264" w:rsidRPr="00594F2B">
        <w:rPr>
          <w:rFonts w:eastAsia="Calibri"/>
          <w:b/>
          <w:bCs/>
          <w:i/>
          <w:iCs/>
          <w:szCs w:val="24"/>
          <w:lang w:val="en-US" w:eastAsia="fa-IR" w:bidi="fa-IR"/>
        </w:rPr>
        <w:t xml:space="preserve"> to the literature</w:t>
      </w:r>
    </w:p>
    <w:p w14:paraId="745AC100" w14:textId="07F2A233" w:rsidR="00DC0982" w:rsidRDefault="006D2264" w:rsidP="00096B45">
      <w:pPr>
        <w:spacing w:line="480" w:lineRule="auto"/>
        <w:jc w:val="both"/>
        <w:rPr>
          <w:rFonts w:eastAsia="Calibri"/>
          <w:szCs w:val="24"/>
          <w:lang w:val="en-US" w:eastAsia="fa-IR" w:bidi="fa-IR"/>
        </w:rPr>
      </w:pPr>
      <w:r w:rsidRPr="00594F2B">
        <w:rPr>
          <w:rFonts w:eastAsia="Calibri"/>
          <w:szCs w:val="24"/>
          <w:lang w:val="en-US" w:eastAsia="fa-IR" w:bidi="fa-IR"/>
        </w:rPr>
        <w:t xml:space="preserve">Extant research has investigated </w:t>
      </w:r>
      <w:r w:rsidR="00116C1D" w:rsidRPr="00594F2B">
        <w:rPr>
          <w:rFonts w:eastAsia="Calibri"/>
          <w:szCs w:val="24"/>
          <w:lang w:val="en-US" w:eastAsia="fa-IR" w:bidi="fa-IR"/>
        </w:rPr>
        <w:t>how technological resources of a biotech firm related to firm and alliance-level success.</w:t>
      </w:r>
      <w:r w:rsidRPr="00594F2B">
        <w:rPr>
          <w:rFonts w:eastAsia="Calibri"/>
          <w:szCs w:val="24"/>
          <w:rtl/>
          <w:lang w:val="en-US" w:eastAsia="fa-IR" w:bidi="fa-IR"/>
        </w:rPr>
        <w:t xml:space="preserve"> </w:t>
      </w:r>
      <w:r w:rsidRPr="00594F2B">
        <w:rPr>
          <w:rFonts w:eastAsia="Calibri"/>
          <w:lang w:val="en-US"/>
        </w:rPr>
        <w:t>We</w:t>
      </w:r>
      <w:r w:rsidRPr="00594F2B">
        <w:rPr>
          <w:rFonts w:eastAsia="Calibri"/>
          <w:szCs w:val="24"/>
          <w:lang w:val="en-US" w:eastAsia="fa-IR" w:bidi="fa-IR"/>
        </w:rPr>
        <w:t xml:space="preserve"> build up upon and add to th</w:t>
      </w:r>
      <w:r w:rsidR="00692A0A" w:rsidRPr="00594F2B">
        <w:rPr>
          <w:rFonts w:eastAsia="Calibri"/>
          <w:szCs w:val="24"/>
          <w:lang w:val="en-US" w:eastAsia="fa-IR" w:bidi="fa-IR"/>
        </w:rPr>
        <w:t>is</w:t>
      </w:r>
      <w:r w:rsidRPr="00594F2B">
        <w:rPr>
          <w:rFonts w:eastAsia="Calibri"/>
          <w:szCs w:val="24"/>
          <w:lang w:val="en-US" w:eastAsia="fa-IR" w:bidi="fa-IR"/>
        </w:rPr>
        <w:t xml:space="preserve"> research by suggesting that the depth and the breadth dimension of these technological resources can have differing impact in the alliance relationship.</w:t>
      </w:r>
      <w:r w:rsidR="00116C1D" w:rsidRPr="00594F2B">
        <w:rPr>
          <w:rFonts w:eastAsia="Calibri"/>
          <w:szCs w:val="24"/>
          <w:lang w:val="en-US" w:eastAsia="fa-IR" w:bidi="fa-IR"/>
        </w:rPr>
        <w:t xml:space="preserve"> More specifically, w</w:t>
      </w:r>
      <w:r w:rsidR="0040707E" w:rsidRPr="00594F2B">
        <w:rPr>
          <w:rFonts w:eastAsia="Calibri"/>
          <w:szCs w:val="24"/>
          <w:lang w:val="en-US" w:eastAsia="fa-IR" w:bidi="fa-IR"/>
        </w:rPr>
        <w:t xml:space="preserve">e </w:t>
      </w:r>
      <w:r w:rsidR="003C7007" w:rsidRPr="00594F2B">
        <w:rPr>
          <w:rFonts w:eastAsia="Calibri"/>
          <w:szCs w:val="24"/>
          <w:lang w:val="en-US" w:eastAsia="fa-IR" w:bidi="fa-IR"/>
        </w:rPr>
        <w:t>managed to explain some inconsistent finding</w:t>
      </w:r>
      <w:r w:rsidR="00692A0A" w:rsidRPr="00594F2B">
        <w:rPr>
          <w:rFonts w:eastAsia="Calibri"/>
          <w:szCs w:val="24"/>
          <w:lang w:val="en-US" w:eastAsia="fa-IR" w:bidi="fa-IR"/>
        </w:rPr>
        <w:t>s</w:t>
      </w:r>
      <w:r w:rsidR="003C7007" w:rsidRPr="00594F2B">
        <w:rPr>
          <w:rFonts w:eastAsia="Calibri"/>
          <w:szCs w:val="24"/>
          <w:lang w:val="en-US" w:eastAsia="fa-IR" w:bidi="fa-IR"/>
        </w:rPr>
        <w:t xml:space="preserve"> </w:t>
      </w:r>
      <w:r w:rsidR="003C7007" w:rsidRPr="00594F2B">
        <w:rPr>
          <w:rFonts w:eastAsia="Calibri"/>
          <w:szCs w:val="24"/>
          <w:lang w:val="en-US" w:eastAsia="fa-IR" w:bidi="fa-IR"/>
        </w:rPr>
        <w:lastRenderedPageBreak/>
        <w:t>of past research that had only considered the total s</w:t>
      </w:r>
      <w:r w:rsidR="0040707E" w:rsidRPr="00594F2B">
        <w:rPr>
          <w:rFonts w:eastAsia="Calibri"/>
          <w:szCs w:val="24"/>
          <w:lang w:val="en-US" w:eastAsia="fa-IR" w:bidi="fa-IR"/>
        </w:rPr>
        <w:t xml:space="preserve">tock of technological resources, </w:t>
      </w:r>
      <w:r w:rsidR="00116C1D" w:rsidRPr="00594F2B">
        <w:rPr>
          <w:rFonts w:eastAsia="Calibri"/>
          <w:szCs w:val="24"/>
          <w:lang w:val="en-US" w:eastAsia="fa-IR" w:bidi="fa-IR"/>
        </w:rPr>
        <w:t>rather</w:t>
      </w:r>
      <w:r w:rsidR="0040707E" w:rsidRPr="00594F2B">
        <w:rPr>
          <w:rFonts w:eastAsia="Calibri"/>
          <w:szCs w:val="24"/>
          <w:lang w:val="en-US" w:eastAsia="fa-IR" w:bidi="fa-IR"/>
        </w:rPr>
        <w:t xml:space="preserve"> than their depth and breadth, when investigating how technological knowledge drives a biotech firm’s ability to acquire financial capital in downstream alliances. </w:t>
      </w:r>
      <w:r w:rsidR="00116C1D" w:rsidRPr="00594F2B">
        <w:rPr>
          <w:rFonts w:eastAsia="Calibri"/>
          <w:szCs w:val="24"/>
          <w:lang w:val="en-US" w:eastAsia="fa-IR" w:bidi="fa-IR"/>
        </w:rPr>
        <w:t>Moreover, this study revealed how stage of development of technology comes into play to affect a firm’s ability to raise funds in alliance. While past research has consistently found a positive role, we add that such an effect is primarily crucial for technologically-broad firms, and the deeper counterparts still managed to tap deep pockets no matter how developed their technology is.</w:t>
      </w:r>
    </w:p>
    <w:p w14:paraId="02453741" w14:textId="77777777" w:rsidR="00096B45" w:rsidRPr="00594F2B" w:rsidRDefault="00096B45" w:rsidP="00096B45">
      <w:pPr>
        <w:spacing w:line="480" w:lineRule="auto"/>
        <w:jc w:val="both"/>
        <w:rPr>
          <w:rFonts w:eastAsia="Calibri"/>
          <w:szCs w:val="24"/>
          <w:lang w:val="en-US" w:eastAsia="fa-IR" w:bidi="fa-IR"/>
        </w:rPr>
      </w:pPr>
    </w:p>
    <w:p w14:paraId="5BF9B1A0" w14:textId="15203EA3" w:rsidR="00116C1D" w:rsidRPr="00594F2B" w:rsidRDefault="00116C1D" w:rsidP="00116C1D">
      <w:pPr>
        <w:spacing w:line="480" w:lineRule="auto"/>
        <w:jc w:val="both"/>
        <w:rPr>
          <w:rFonts w:eastAsia="Calibri"/>
          <w:b/>
          <w:bCs/>
          <w:i/>
          <w:iCs/>
          <w:szCs w:val="24"/>
          <w:lang w:val="en-US" w:eastAsia="fa-IR" w:bidi="fa-IR"/>
        </w:rPr>
      </w:pPr>
      <w:r w:rsidRPr="00594F2B">
        <w:rPr>
          <w:rFonts w:eastAsia="Calibri"/>
          <w:b/>
          <w:bCs/>
          <w:i/>
          <w:iCs/>
          <w:szCs w:val="24"/>
          <w:lang w:val="en-US" w:eastAsia="fa-IR" w:bidi="fa-IR"/>
        </w:rPr>
        <w:t xml:space="preserve">Limitations and Future Lines of Research </w:t>
      </w:r>
    </w:p>
    <w:p w14:paraId="1CE0B1C8" w14:textId="77777777" w:rsidR="00664120" w:rsidRPr="00594F2B" w:rsidRDefault="00664120" w:rsidP="00664120">
      <w:pPr>
        <w:spacing w:line="480" w:lineRule="auto"/>
        <w:jc w:val="both"/>
        <w:rPr>
          <w:rFonts w:eastAsia="Calibri"/>
          <w:szCs w:val="24"/>
          <w:lang w:val="en-US" w:eastAsia="fa-IR" w:bidi="fa-IR"/>
        </w:rPr>
      </w:pPr>
      <w:r w:rsidRPr="00594F2B">
        <w:rPr>
          <w:rFonts w:eastAsia="Calibri"/>
          <w:szCs w:val="24"/>
          <w:lang w:val="en-US" w:eastAsia="fa-IR" w:bidi="fa-IR"/>
        </w:rPr>
        <w:t>Despite its contributions, our study has a number of limitations which offer avenues for further research: Because we wanted to focus on the biotech firm’s core competencies, our independent variables captured several characteristics of the same. However, the pharma partner’s attributes are equally important, and recent research has shown a tendency towards dyad-level variables. While conceptually we manage to view the biotech firm from the big pharma’s lens, further research could incorporate empirical data from the larger firm as well. Specifically, future studies can investigate if there would be any relationship between knowledge relatedness of the two partners, their respective knowledge depth and breadth, and alliance-level outcomes.</w:t>
      </w:r>
    </w:p>
    <w:p w14:paraId="2235F0C8" w14:textId="6428C605" w:rsidR="003C7007" w:rsidRPr="00594F2B" w:rsidRDefault="00664120" w:rsidP="000D1127">
      <w:pPr>
        <w:spacing w:line="480" w:lineRule="auto"/>
        <w:jc w:val="both"/>
        <w:rPr>
          <w:rFonts w:eastAsia="Calibri"/>
          <w:szCs w:val="24"/>
          <w:lang w:val="en-US" w:eastAsia="fa-IR" w:bidi="fa-IR"/>
        </w:rPr>
      </w:pPr>
      <w:r w:rsidRPr="00594F2B">
        <w:rPr>
          <w:rFonts w:eastAsia="Calibri"/>
          <w:szCs w:val="24"/>
          <w:lang w:val="en-US" w:eastAsia="fa-IR" w:bidi="fa-IR"/>
        </w:rPr>
        <w:t xml:space="preserve">Finally, we only considered those </w:t>
      </w:r>
      <w:r w:rsidR="000D1127" w:rsidRPr="00594F2B">
        <w:rPr>
          <w:rFonts w:eastAsia="Calibri"/>
          <w:szCs w:val="24"/>
          <w:lang w:val="en-US" w:eastAsia="fa-IR" w:bidi="fa-IR"/>
        </w:rPr>
        <w:t xml:space="preserve">alliances for which: alliance financial data were disclosed, and firm’s financial data were publicly available (i.e. the firm was publicly traded). This could mean that our results are not generalizable to very young and small start-ups. An interesting path for further research would be to obtain longitudinal data on such small firms and investigate whether the findings of our study can be further validated. For example, do entrepreneurial biotech firm’s first focus on gaining specialized knowledge and postpone diversifying until a later moment in time? </w:t>
      </w:r>
    </w:p>
    <w:p w14:paraId="0B418CAE" w14:textId="77777777" w:rsidR="000D1127" w:rsidRPr="00594F2B" w:rsidRDefault="000D1127" w:rsidP="000D1127">
      <w:pPr>
        <w:spacing w:line="480" w:lineRule="auto"/>
        <w:jc w:val="both"/>
        <w:rPr>
          <w:rFonts w:eastAsia="Calibri"/>
          <w:szCs w:val="24"/>
          <w:lang w:val="en-US" w:eastAsia="fa-IR" w:bidi="fa-IR"/>
        </w:rPr>
      </w:pPr>
    </w:p>
    <w:p w14:paraId="6CBEA109" w14:textId="73810493" w:rsidR="000D1127" w:rsidRPr="00096B45" w:rsidRDefault="000D1127" w:rsidP="000D1127">
      <w:pPr>
        <w:spacing w:line="480" w:lineRule="auto"/>
        <w:jc w:val="both"/>
        <w:rPr>
          <w:rFonts w:eastAsia="Calibri"/>
          <w:b/>
          <w:bCs/>
          <w:i/>
          <w:iCs/>
          <w:szCs w:val="24"/>
          <w:lang w:val="en-US" w:eastAsia="fa-IR" w:bidi="fa-IR"/>
        </w:rPr>
      </w:pPr>
      <w:r w:rsidRPr="00096B45">
        <w:rPr>
          <w:rFonts w:eastAsia="Calibri"/>
          <w:b/>
          <w:bCs/>
          <w:i/>
          <w:iCs/>
          <w:szCs w:val="24"/>
          <w:lang w:val="en-US" w:eastAsia="fa-IR" w:bidi="fa-IR"/>
        </w:rPr>
        <w:lastRenderedPageBreak/>
        <w:t>Implications for Practice</w:t>
      </w:r>
    </w:p>
    <w:p w14:paraId="1988A4DF" w14:textId="406F45A0" w:rsidR="00AF53F5" w:rsidRPr="00594F2B" w:rsidRDefault="00AF53F5" w:rsidP="00AE3E07">
      <w:pPr>
        <w:spacing w:line="480" w:lineRule="auto"/>
        <w:jc w:val="both"/>
        <w:rPr>
          <w:rFonts w:eastAsia="Calibri"/>
          <w:szCs w:val="24"/>
          <w:lang w:val="en-US" w:eastAsia="fa-IR" w:bidi="fa-IR"/>
        </w:rPr>
      </w:pPr>
      <w:r w:rsidRPr="00594F2B">
        <w:rPr>
          <w:rFonts w:eastAsia="Calibri"/>
          <w:lang w:val="en-US" w:bidi="fa-IR"/>
        </w:rPr>
        <w:t>Managers of new biotech firms need to recognize the differing potential roles of knowledge depth and breadth when adopting their knowledge strategy</w:t>
      </w:r>
      <w:r w:rsidR="000D1127" w:rsidRPr="00594F2B">
        <w:rPr>
          <w:rFonts w:eastAsia="Calibri"/>
          <w:lang w:val="en-US" w:bidi="fa-IR"/>
        </w:rPr>
        <w:t xml:space="preserve"> (Moorthy and </w:t>
      </w:r>
      <w:proofErr w:type="spellStart"/>
      <w:r w:rsidR="000D1127" w:rsidRPr="00594F2B">
        <w:rPr>
          <w:rFonts w:eastAsia="Calibri"/>
          <w:lang w:val="en-US" w:bidi="fa-IR"/>
        </w:rPr>
        <w:t>Polley</w:t>
      </w:r>
      <w:proofErr w:type="spellEnd"/>
      <w:r w:rsidR="000D1127" w:rsidRPr="00594F2B">
        <w:rPr>
          <w:rFonts w:eastAsia="Calibri"/>
          <w:lang w:val="en-US" w:bidi="fa-IR"/>
        </w:rPr>
        <w:t>, 2010)</w:t>
      </w:r>
      <w:r w:rsidRPr="00594F2B">
        <w:rPr>
          <w:rFonts w:eastAsia="Calibri"/>
          <w:lang w:val="en-US" w:bidi="fa-IR"/>
        </w:rPr>
        <w:t xml:space="preserve">. With limited resources, </w:t>
      </w:r>
      <w:r w:rsidR="000D1127" w:rsidRPr="00594F2B">
        <w:rPr>
          <w:rFonts w:eastAsia="Calibri"/>
          <w:lang w:val="en-US" w:bidi="fa-IR"/>
        </w:rPr>
        <w:t xml:space="preserve">managers of </w:t>
      </w:r>
      <w:r w:rsidRPr="00594F2B">
        <w:rPr>
          <w:rFonts w:eastAsia="Calibri"/>
          <w:lang w:val="en-US" w:bidi="fa-IR"/>
        </w:rPr>
        <w:t>small technology-based firms need to invest only in the right type and right dimension of technological knowledge: the one that brings them highest returns and most benefits in their inter-firm linkages.</w:t>
      </w:r>
      <w:r w:rsidR="000D1127" w:rsidRPr="00594F2B">
        <w:rPr>
          <w:rFonts w:eastAsia="Calibri"/>
          <w:lang w:val="en-US" w:bidi="fa-IR"/>
        </w:rPr>
        <w:t xml:space="preserve"> The empirical results of this study confirm that knowledge depth and breadth would yield different results for the firm </w:t>
      </w:r>
      <w:r w:rsidR="00AE3E07" w:rsidRPr="00594F2B">
        <w:rPr>
          <w:rFonts w:eastAsia="Calibri"/>
          <w:lang w:val="en-US" w:bidi="fa-IR"/>
        </w:rPr>
        <w:t xml:space="preserve">in the </w:t>
      </w:r>
      <w:r w:rsidR="000D1127" w:rsidRPr="00594F2B">
        <w:rPr>
          <w:rFonts w:eastAsia="Calibri"/>
          <w:lang w:val="en-US" w:bidi="fa-IR"/>
        </w:rPr>
        <w:t xml:space="preserve">alliance, and hence managers </w:t>
      </w:r>
      <w:r w:rsidR="00AE3E07" w:rsidRPr="00594F2B">
        <w:rPr>
          <w:rFonts w:eastAsia="Calibri"/>
          <w:lang w:val="en-US" w:bidi="fa-IR"/>
        </w:rPr>
        <w:t>should</w:t>
      </w:r>
      <w:r w:rsidR="000D1127" w:rsidRPr="00594F2B">
        <w:rPr>
          <w:rFonts w:eastAsia="Calibri"/>
          <w:lang w:val="en-US" w:bidi="fa-IR"/>
        </w:rPr>
        <w:t xml:space="preserve"> </w:t>
      </w:r>
      <w:r w:rsidR="00AE3E07" w:rsidRPr="00594F2B">
        <w:rPr>
          <w:rFonts w:eastAsia="Calibri"/>
          <w:lang w:val="en-US" w:bidi="fa-IR"/>
        </w:rPr>
        <w:t>be aware of and take into account</w:t>
      </w:r>
      <w:r w:rsidR="000D1127" w:rsidRPr="00594F2B">
        <w:rPr>
          <w:rFonts w:eastAsia="Calibri"/>
          <w:lang w:val="en-US" w:bidi="fa-IR"/>
        </w:rPr>
        <w:t xml:space="preserve"> these dimensions in addition to </w:t>
      </w:r>
      <w:r w:rsidR="00AE3E07" w:rsidRPr="00594F2B">
        <w:rPr>
          <w:rFonts w:eastAsia="Calibri"/>
          <w:lang w:val="en-US" w:bidi="fa-IR"/>
        </w:rPr>
        <w:t xml:space="preserve">more </w:t>
      </w:r>
      <w:r w:rsidR="000D1127" w:rsidRPr="00594F2B">
        <w:rPr>
          <w:rFonts w:eastAsia="Calibri"/>
          <w:lang w:val="en-US" w:bidi="fa-IR"/>
        </w:rPr>
        <w:t xml:space="preserve">well-known factors such as </w:t>
      </w:r>
      <w:r w:rsidR="00AE3E07" w:rsidRPr="00594F2B">
        <w:rPr>
          <w:rFonts w:eastAsia="Calibri"/>
          <w:lang w:val="en-US" w:bidi="fa-IR"/>
        </w:rPr>
        <w:t xml:space="preserve">the </w:t>
      </w:r>
      <w:r w:rsidR="000D1127" w:rsidRPr="00594F2B">
        <w:rPr>
          <w:rFonts w:eastAsia="Calibri"/>
          <w:lang w:val="en-US" w:bidi="fa-IR"/>
        </w:rPr>
        <w:t>stage of d</w:t>
      </w:r>
      <w:r w:rsidR="00DC0982">
        <w:rPr>
          <w:rFonts w:eastAsia="Calibri"/>
          <w:lang w:val="en-US" w:bidi="fa-IR"/>
        </w:rPr>
        <w:t>evelopment of technology and the possibilities for equity investment.</w:t>
      </w:r>
    </w:p>
    <w:p w14:paraId="11F1B019" w14:textId="346558FC" w:rsidR="00AF53F5" w:rsidRDefault="00AF53F5" w:rsidP="00AF53F5">
      <w:pPr>
        <w:keepNext/>
        <w:spacing w:line="480" w:lineRule="auto"/>
        <w:outlineLvl w:val="3"/>
        <w:rPr>
          <w:b/>
          <w:bCs/>
          <w:szCs w:val="24"/>
          <w:lang w:val="en-US" w:bidi="fa-IR"/>
        </w:rPr>
      </w:pPr>
    </w:p>
    <w:p w14:paraId="2F138102" w14:textId="1A4902D2" w:rsidR="00096B45" w:rsidRDefault="00096B45" w:rsidP="00AF53F5">
      <w:pPr>
        <w:keepNext/>
        <w:spacing w:line="480" w:lineRule="auto"/>
        <w:outlineLvl w:val="3"/>
        <w:rPr>
          <w:b/>
          <w:bCs/>
          <w:szCs w:val="24"/>
          <w:lang w:val="en-US" w:bidi="fa-IR"/>
        </w:rPr>
      </w:pPr>
    </w:p>
    <w:p w14:paraId="7DFDE4A3" w14:textId="103943D1" w:rsidR="00096B45" w:rsidRDefault="00096B45" w:rsidP="00AF53F5">
      <w:pPr>
        <w:keepNext/>
        <w:spacing w:line="480" w:lineRule="auto"/>
        <w:outlineLvl w:val="3"/>
        <w:rPr>
          <w:b/>
          <w:bCs/>
          <w:szCs w:val="24"/>
          <w:lang w:val="en-US" w:bidi="fa-IR"/>
        </w:rPr>
      </w:pPr>
    </w:p>
    <w:p w14:paraId="7FEB737A" w14:textId="06BA0543" w:rsidR="00096B45" w:rsidRDefault="00096B45" w:rsidP="00AF53F5">
      <w:pPr>
        <w:keepNext/>
        <w:spacing w:line="480" w:lineRule="auto"/>
        <w:outlineLvl w:val="3"/>
        <w:rPr>
          <w:b/>
          <w:bCs/>
          <w:szCs w:val="24"/>
          <w:lang w:val="en-US" w:bidi="fa-IR"/>
        </w:rPr>
      </w:pPr>
    </w:p>
    <w:p w14:paraId="29688B39" w14:textId="2AB1BFCF" w:rsidR="00096B45" w:rsidRDefault="00096B45" w:rsidP="00AF53F5">
      <w:pPr>
        <w:keepNext/>
        <w:spacing w:line="480" w:lineRule="auto"/>
        <w:outlineLvl w:val="3"/>
        <w:rPr>
          <w:b/>
          <w:bCs/>
          <w:szCs w:val="24"/>
          <w:lang w:val="en-US" w:bidi="fa-IR"/>
        </w:rPr>
      </w:pPr>
    </w:p>
    <w:p w14:paraId="00182139" w14:textId="38BF43F3" w:rsidR="00096B45" w:rsidRDefault="00096B45" w:rsidP="00AF53F5">
      <w:pPr>
        <w:keepNext/>
        <w:spacing w:line="480" w:lineRule="auto"/>
        <w:outlineLvl w:val="3"/>
        <w:rPr>
          <w:b/>
          <w:bCs/>
          <w:szCs w:val="24"/>
          <w:lang w:val="en-US" w:bidi="fa-IR"/>
        </w:rPr>
      </w:pPr>
    </w:p>
    <w:p w14:paraId="6DCBDC79" w14:textId="667F3715" w:rsidR="00096B45" w:rsidRDefault="00096B45" w:rsidP="00AF53F5">
      <w:pPr>
        <w:keepNext/>
        <w:spacing w:line="480" w:lineRule="auto"/>
        <w:outlineLvl w:val="3"/>
        <w:rPr>
          <w:b/>
          <w:bCs/>
          <w:szCs w:val="24"/>
          <w:lang w:val="en-US" w:bidi="fa-IR"/>
        </w:rPr>
      </w:pPr>
    </w:p>
    <w:p w14:paraId="397111FF" w14:textId="41CC36A8" w:rsidR="00096B45" w:rsidRDefault="00096B45" w:rsidP="00AF53F5">
      <w:pPr>
        <w:keepNext/>
        <w:spacing w:line="480" w:lineRule="auto"/>
        <w:outlineLvl w:val="3"/>
        <w:rPr>
          <w:b/>
          <w:bCs/>
          <w:szCs w:val="24"/>
          <w:lang w:val="en-US" w:bidi="fa-IR"/>
        </w:rPr>
      </w:pPr>
    </w:p>
    <w:p w14:paraId="5259AEC3" w14:textId="55923F9D" w:rsidR="00096B45" w:rsidRDefault="00096B45" w:rsidP="00AF53F5">
      <w:pPr>
        <w:keepNext/>
        <w:spacing w:line="480" w:lineRule="auto"/>
        <w:outlineLvl w:val="3"/>
        <w:rPr>
          <w:b/>
          <w:bCs/>
          <w:szCs w:val="24"/>
          <w:lang w:val="en-US" w:bidi="fa-IR"/>
        </w:rPr>
      </w:pPr>
    </w:p>
    <w:p w14:paraId="669F3C87" w14:textId="05E206BA" w:rsidR="00096B45" w:rsidRDefault="00096B45" w:rsidP="00AF53F5">
      <w:pPr>
        <w:keepNext/>
        <w:spacing w:line="480" w:lineRule="auto"/>
        <w:outlineLvl w:val="3"/>
        <w:rPr>
          <w:b/>
          <w:bCs/>
          <w:szCs w:val="24"/>
          <w:lang w:val="en-US" w:bidi="fa-IR"/>
        </w:rPr>
      </w:pPr>
    </w:p>
    <w:p w14:paraId="4B28AE77" w14:textId="72B9DB1A" w:rsidR="00096B45" w:rsidRDefault="00096B45" w:rsidP="00AF53F5">
      <w:pPr>
        <w:keepNext/>
        <w:spacing w:line="480" w:lineRule="auto"/>
        <w:outlineLvl w:val="3"/>
        <w:rPr>
          <w:b/>
          <w:bCs/>
          <w:szCs w:val="24"/>
          <w:lang w:val="en-US" w:bidi="fa-IR"/>
        </w:rPr>
      </w:pPr>
    </w:p>
    <w:p w14:paraId="5F176669" w14:textId="77777777" w:rsidR="00096B45" w:rsidRDefault="00096B45" w:rsidP="00AF53F5">
      <w:pPr>
        <w:keepNext/>
        <w:spacing w:line="480" w:lineRule="auto"/>
        <w:outlineLvl w:val="3"/>
        <w:rPr>
          <w:b/>
          <w:bCs/>
          <w:szCs w:val="24"/>
          <w:lang w:val="en-US" w:bidi="fa-IR"/>
        </w:rPr>
      </w:pPr>
    </w:p>
    <w:p w14:paraId="14808641" w14:textId="21AB3B0A" w:rsidR="00096B45" w:rsidRDefault="00096B45" w:rsidP="00AF53F5">
      <w:pPr>
        <w:keepNext/>
        <w:spacing w:line="480" w:lineRule="auto"/>
        <w:outlineLvl w:val="3"/>
        <w:rPr>
          <w:b/>
          <w:bCs/>
          <w:szCs w:val="24"/>
          <w:lang w:val="en-US" w:bidi="fa-IR"/>
        </w:rPr>
      </w:pPr>
    </w:p>
    <w:p w14:paraId="4104B6CA" w14:textId="77777777" w:rsidR="00096B45" w:rsidRDefault="00096B45" w:rsidP="00AF53F5">
      <w:pPr>
        <w:keepNext/>
        <w:spacing w:line="480" w:lineRule="auto"/>
        <w:outlineLvl w:val="3"/>
        <w:rPr>
          <w:b/>
          <w:bCs/>
          <w:szCs w:val="24"/>
          <w:lang w:val="en-US" w:bidi="fa-IR"/>
        </w:rPr>
      </w:pPr>
    </w:p>
    <w:p w14:paraId="594C09FA" w14:textId="77777777" w:rsidR="00096B45" w:rsidRDefault="00096B45" w:rsidP="00065449">
      <w:pPr>
        <w:rPr>
          <w:b/>
          <w:bCs/>
          <w:szCs w:val="24"/>
          <w:lang w:val="en-US" w:bidi="fa-IR"/>
        </w:rPr>
      </w:pPr>
      <w:r>
        <w:rPr>
          <w:b/>
          <w:bCs/>
          <w:szCs w:val="24"/>
          <w:lang w:val="en-US" w:bidi="fa-IR"/>
        </w:rPr>
        <w:br/>
      </w:r>
    </w:p>
    <w:p w14:paraId="331D1E1E" w14:textId="4215CC51" w:rsidR="00071623" w:rsidRPr="00594F2B" w:rsidRDefault="00425019" w:rsidP="00065449">
      <w:pPr>
        <w:rPr>
          <w:lang w:val="en-US"/>
        </w:rPr>
      </w:pPr>
      <w:r w:rsidRPr="00594F2B">
        <w:rPr>
          <w:rFonts w:cstheme="majorBidi"/>
          <w:b/>
          <w:bCs/>
          <w:szCs w:val="24"/>
          <w:lang w:val="en-US"/>
        </w:rPr>
        <w:lastRenderedPageBreak/>
        <w:t>References</w:t>
      </w:r>
    </w:p>
    <w:p w14:paraId="23B61713" w14:textId="77777777" w:rsidR="00AF53F5" w:rsidRPr="00594F2B" w:rsidRDefault="00AF53F5" w:rsidP="00065449">
      <w:pPr>
        <w:rPr>
          <w:lang w:val="en-US"/>
        </w:rPr>
      </w:pPr>
    </w:p>
    <w:p w14:paraId="0683C326" w14:textId="77777777" w:rsidR="00F95572" w:rsidRPr="00F95572" w:rsidRDefault="00F95572" w:rsidP="00F95572">
      <w:pPr>
        <w:spacing w:after="200" w:line="276" w:lineRule="auto"/>
        <w:ind w:left="567" w:hanging="567"/>
        <w:rPr>
          <w:rFonts w:eastAsia="Calibri"/>
          <w:szCs w:val="24"/>
          <w:lang w:val="en-US" w:eastAsia="en-US"/>
        </w:rPr>
      </w:pPr>
      <w:proofErr w:type="spellStart"/>
      <w:r w:rsidRPr="00F95572">
        <w:rPr>
          <w:rFonts w:eastAsia="Calibri"/>
          <w:szCs w:val="24"/>
          <w:lang w:val="en-US" w:eastAsia="en-US"/>
        </w:rPr>
        <w:t>Adegbesan</w:t>
      </w:r>
      <w:proofErr w:type="spellEnd"/>
      <w:r w:rsidRPr="00F95572">
        <w:rPr>
          <w:rFonts w:eastAsia="Calibri"/>
          <w:szCs w:val="24"/>
          <w:lang w:val="en-US" w:eastAsia="en-US"/>
        </w:rPr>
        <w:t>, J.A. and Higgins, M.J., 2011. The intra</w:t>
      </w:r>
      <w:r w:rsidRPr="00F95572">
        <w:rPr>
          <w:rFonts w:ascii="Cambria Math" w:eastAsia="Calibri" w:hAnsi="Cambria Math" w:cs="Cambria Math"/>
          <w:szCs w:val="24"/>
          <w:lang w:val="en-US" w:eastAsia="en-US"/>
        </w:rPr>
        <w:t>‐</w:t>
      </w:r>
      <w:r w:rsidRPr="00F95572">
        <w:rPr>
          <w:rFonts w:eastAsia="Calibri"/>
          <w:szCs w:val="24"/>
          <w:lang w:val="en-US" w:eastAsia="en-US"/>
        </w:rPr>
        <w:t>alliance division of value created through collaboration. Strategic Management Journal, 32(2), pp.187-211.</w:t>
      </w:r>
    </w:p>
    <w:p w14:paraId="07E24C9E" w14:textId="77777777" w:rsidR="00F95572" w:rsidRPr="00F95572" w:rsidRDefault="00F95572" w:rsidP="00F95572">
      <w:pPr>
        <w:spacing w:after="200" w:line="276" w:lineRule="auto"/>
        <w:ind w:left="567" w:hanging="567"/>
        <w:rPr>
          <w:rFonts w:eastAsia="Calibri"/>
          <w:szCs w:val="24"/>
          <w:lang w:val="en-US" w:eastAsia="en-US"/>
        </w:rPr>
      </w:pPr>
      <w:proofErr w:type="spellStart"/>
      <w:r w:rsidRPr="00F95572">
        <w:rPr>
          <w:rFonts w:eastAsia="Calibri"/>
          <w:szCs w:val="24"/>
          <w:lang w:val="en-US" w:eastAsia="en-US"/>
        </w:rPr>
        <w:t>Aghion</w:t>
      </w:r>
      <w:proofErr w:type="spellEnd"/>
      <w:r w:rsidRPr="00F95572">
        <w:rPr>
          <w:rFonts w:eastAsia="Calibri"/>
          <w:szCs w:val="24"/>
          <w:lang w:val="en-US" w:eastAsia="en-US"/>
        </w:rPr>
        <w:t xml:space="preserve">, P. and </w:t>
      </w:r>
      <w:proofErr w:type="spellStart"/>
      <w:r w:rsidRPr="00F95572">
        <w:rPr>
          <w:rFonts w:eastAsia="Calibri"/>
          <w:szCs w:val="24"/>
          <w:lang w:val="en-US" w:eastAsia="en-US"/>
        </w:rPr>
        <w:t>Tirole</w:t>
      </w:r>
      <w:proofErr w:type="spellEnd"/>
      <w:r w:rsidRPr="00F95572">
        <w:rPr>
          <w:rFonts w:eastAsia="Calibri"/>
          <w:szCs w:val="24"/>
          <w:lang w:val="en-US" w:eastAsia="en-US"/>
        </w:rPr>
        <w:t>, J. (1994) ‘The management of innovation’, The Quarterly Journal of Economics. MIT Press, 109(4), pp. 1185–1209.</w:t>
      </w:r>
    </w:p>
    <w:p w14:paraId="0FA20BA3" w14:textId="77777777" w:rsidR="00F95572" w:rsidRPr="00F95572" w:rsidRDefault="00F95572" w:rsidP="00F95572">
      <w:pPr>
        <w:spacing w:after="200" w:line="276" w:lineRule="auto"/>
        <w:ind w:left="567" w:hanging="567"/>
        <w:rPr>
          <w:rFonts w:eastAsia="Calibri"/>
          <w:szCs w:val="24"/>
          <w:lang w:val="en-US" w:eastAsia="en-US"/>
        </w:rPr>
      </w:pPr>
      <w:proofErr w:type="spellStart"/>
      <w:r w:rsidRPr="00F95572">
        <w:rPr>
          <w:rFonts w:eastAsia="Calibri"/>
          <w:szCs w:val="24"/>
          <w:lang w:val="en-US" w:eastAsia="en-US"/>
        </w:rPr>
        <w:t>Aghion</w:t>
      </w:r>
      <w:proofErr w:type="spellEnd"/>
      <w:r w:rsidRPr="00F95572">
        <w:rPr>
          <w:rFonts w:eastAsia="Calibri"/>
          <w:szCs w:val="24"/>
          <w:lang w:val="en-US" w:eastAsia="en-US"/>
        </w:rPr>
        <w:t xml:space="preserve">, P., &amp; </w:t>
      </w:r>
      <w:proofErr w:type="spellStart"/>
      <w:r w:rsidRPr="00F95572">
        <w:rPr>
          <w:rFonts w:eastAsia="Calibri"/>
          <w:szCs w:val="24"/>
          <w:lang w:val="en-US" w:eastAsia="en-US"/>
        </w:rPr>
        <w:t>Tirole</w:t>
      </w:r>
      <w:proofErr w:type="spellEnd"/>
      <w:r w:rsidRPr="00F95572">
        <w:rPr>
          <w:rFonts w:eastAsia="Calibri"/>
          <w:szCs w:val="24"/>
          <w:lang w:val="en-US" w:eastAsia="en-US"/>
        </w:rPr>
        <w:t>, J. (1994). The management of innovation. The Quarterly Journal of Economics, 109(4), 1185–1209.</w:t>
      </w:r>
    </w:p>
    <w:p w14:paraId="56A53592"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Ahuja, G. (2000). The Duality of Collaboration: Inducements and Opportunities in the Formation of Interfirm Linkages. Strategic Management Journal, 21(3), 317–343. https://doi.org/10.2307/3094190</w:t>
      </w:r>
    </w:p>
    <w:p w14:paraId="1B04F536"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Alvarez SA, Barney JB. 2001. How entrepreneurial firms can benefit from alliances with large partners, Academy of Management Executive 15: 139–148.</w:t>
      </w:r>
    </w:p>
    <w:p w14:paraId="283FE3EC" w14:textId="77777777" w:rsidR="00F95572" w:rsidRPr="00F95572" w:rsidRDefault="00F95572" w:rsidP="00F95572">
      <w:pPr>
        <w:spacing w:after="200" w:line="276" w:lineRule="auto"/>
        <w:ind w:left="567" w:hanging="567"/>
        <w:rPr>
          <w:rFonts w:eastAsia="Calibri"/>
          <w:szCs w:val="24"/>
          <w:lang w:val="en-US" w:eastAsia="en-US"/>
        </w:rPr>
      </w:pPr>
      <w:proofErr w:type="spellStart"/>
      <w:r w:rsidRPr="00F95572">
        <w:rPr>
          <w:rFonts w:eastAsia="Calibri"/>
          <w:szCs w:val="24"/>
          <w:lang w:val="en-US" w:eastAsia="en-US"/>
        </w:rPr>
        <w:t>Bierly</w:t>
      </w:r>
      <w:proofErr w:type="spellEnd"/>
      <w:r w:rsidRPr="00F95572">
        <w:rPr>
          <w:rFonts w:eastAsia="Calibri"/>
          <w:szCs w:val="24"/>
          <w:lang w:val="en-US" w:eastAsia="en-US"/>
        </w:rPr>
        <w:t xml:space="preserve"> III, P. E., &amp; Coombs, J. E. (2004). Equity alliances, stages of product development, and alliance instability. Journal of Engineering and Technology Management, 21(3), 191–214.</w:t>
      </w:r>
    </w:p>
    <w:p w14:paraId="36179D44" w14:textId="77777777" w:rsidR="00F95572" w:rsidRPr="00F95572" w:rsidRDefault="00F95572" w:rsidP="00F95572">
      <w:pPr>
        <w:spacing w:after="200" w:line="276" w:lineRule="auto"/>
        <w:ind w:left="567" w:hanging="567"/>
        <w:rPr>
          <w:rFonts w:eastAsia="Calibri"/>
          <w:szCs w:val="24"/>
          <w:lang w:val="en-US" w:eastAsia="en-US"/>
        </w:rPr>
      </w:pPr>
      <w:proofErr w:type="spellStart"/>
      <w:r w:rsidRPr="00F95572">
        <w:rPr>
          <w:rFonts w:eastAsia="Calibri"/>
          <w:szCs w:val="24"/>
          <w:lang w:val="en-US" w:eastAsia="en-US"/>
        </w:rPr>
        <w:t>Bierly</w:t>
      </w:r>
      <w:proofErr w:type="spellEnd"/>
      <w:r w:rsidRPr="00F95572">
        <w:rPr>
          <w:rFonts w:eastAsia="Calibri"/>
          <w:szCs w:val="24"/>
          <w:lang w:val="en-US" w:eastAsia="en-US"/>
        </w:rPr>
        <w:t>, P., &amp; Chakrabarti, A. (1996). Generic knowledge strategies in the U.S. pharmaceutical industry. Strategic Management Journal, 17(S2), 123–135. https://doi.org/10.1002/smj.4250171111</w:t>
      </w:r>
    </w:p>
    <w:p w14:paraId="42F90CF3"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Clarivate Analytics, 2017, Annual Deals &amp; Portfolio Review, available online at:  http://info.clarivate.com/JPMDealsReview?utm_campaign=16574_JPM_Deals_Review_LS_Email2_35379&amp;utm_medium=email&amp;utm_source=Eloqua&amp;elqTrackId=7e1c43c433b14a03a0032846ebc16b88&amp;elq=f55e5f6aa76d4ecfacbf418e2763d948&amp;elqaid=35379&amp;elqat=1&amp;elqCampaignId=16574</w:t>
      </w:r>
    </w:p>
    <w:p w14:paraId="6772988C" w14:textId="77777777" w:rsidR="00F95572" w:rsidRPr="00F95572" w:rsidRDefault="00F95572" w:rsidP="00F95572">
      <w:pPr>
        <w:spacing w:after="200" w:line="276" w:lineRule="auto"/>
        <w:ind w:left="567" w:hanging="567"/>
        <w:rPr>
          <w:rFonts w:eastAsia="Calibri"/>
          <w:szCs w:val="24"/>
          <w:lang w:val="en-US" w:eastAsia="en-US"/>
        </w:rPr>
      </w:pPr>
      <w:proofErr w:type="spellStart"/>
      <w:r w:rsidRPr="00F95572">
        <w:rPr>
          <w:rFonts w:eastAsia="Calibri"/>
          <w:szCs w:val="24"/>
          <w:lang w:val="en-US" w:eastAsia="en-US"/>
        </w:rPr>
        <w:t>Diestre</w:t>
      </w:r>
      <w:proofErr w:type="spellEnd"/>
      <w:r w:rsidRPr="00F95572">
        <w:rPr>
          <w:rFonts w:eastAsia="Calibri"/>
          <w:szCs w:val="24"/>
          <w:lang w:val="en-US" w:eastAsia="en-US"/>
        </w:rPr>
        <w:t>, L. and Rajagopalan, N., 2012. Are all ‘sharks’ dangerous? new biotechnology ventures and partner selection in R&amp;D alliances. Strategic Management Journal, 33(10), pp.1115-1134.</w:t>
      </w:r>
    </w:p>
    <w:p w14:paraId="32531DA2"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 xml:space="preserve">Dunne, D. D., Gopalakrishnan, S., &amp; </w:t>
      </w:r>
      <w:proofErr w:type="spellStart"/>
      <w:r w:rsidRPr="00F95572">
        <w:rPr>
          <w:rFonts w:eastAsia="Calibri"/>
          <w:szCs w:val="24"/>
          <w:lang w:val="en-US" w:eastAsia="en-US"/>
        </w:rPr>
        <w:t>Scillitoe</w:t>
      </w:r>
      <w:proofErr w:type="spellEnd"/>
      <w:r w:rsidRPr="00F95572">
        <w:rPr>
          <w:rFonts w:eastAsia="Calibri"/>
          <w:szCs w:val="24"/>
          <w:lang w:val="en-US" w:eastAsia="en-US"/>
        </w:rPr>
        <w:t>, J. L. (2009). An empirical study of the impact of firm resources on alliance governance structures. Journal of Engineering and Technology Management - JET-M, 26(3), 181–195. https://doi.org/10.1016/j.jengtecman.2009.06.004</w:t>
      </w:r>
    </w:p>
    <w:p w14:paraId="39A4A379" w14:textId="77777777" w:rsidR="00F95572" w:rsidRPr="00F95572" w:rsidRDefault="00F95572" w:rsidP="00F95572">
      <w:pPr>
        <w:spacing w:after="200" w:line="276" w:lineRule="auto"/>
        <w:ind w:left="567" w:hanging="567"/>
        <w:rPr>
          <w:rFonts w:eastAsia="Calibri"/>
          <w:szCs w:val="24"/>
          <w:lang w:val="en-US" w:eastAsia="en-US"/>
        </w:rPr>
      </w:pPr>
      <w:proofErr w:type="spellStart"/>
      <w:r w:rsidRPr="00C60BC1">
        <w:rPr>
          <w:rFonts w:eastAsia="Calibri"/>
          <w:szCs w:val="24"/>
          <w:lang w:val="es-ES" w:eastAsia="en-US"/>
        </w:rPr>
        <w:t>Gopalakrishnan</w:t>
      </w:r>
      <w:proofErr w:type="spellEnd"/>
      <w:r w:rsidRPr="00C60BC1">
        <w:rPr>
          <w:rFonts w:eastAsia="Calibri"/>
          <w:szCs w:val="24"/>
          <w:lang w:val="es-ES" w:eastAsia="en-US"/>
        </w:rPr>
        <w:t xml:space="preserve">, S., </w:t>
      </w:r>
      <w:proofErr w:type="spellStart"/>
      <w:r w:rsidRPr="00C60BC1">
        <w:rPr>
          <w:rFonts w:eastAsia="Calibri"/>
          <w:szCs w:val="24"/>
          <w:lang w:val="es-ES" w:eastAsia="en-US"/>
        </w:rPr>
        <w:t>Scillitoe</w:t>
      </w:r>
      <w:proofErr w:type="spellEnd"/>
      <w:r w:rsidRPr="00C60BC1">
        <w:rPr>
          <w:rFonts w:eastAsia="Calibri"/>
          <w:szCs w:val="24"/>
          <w:lang w:val="es-ES" w:eastAsia="en-US"/>
        </w:rPr>
        <w:t xml:space="preserve">, J. &amp; Santoro, M. (2008). </w:t>
      </w:r>
      <w:r w:rsidRPr="00F95572">
        <w:rPr>
          <w:rFonts w:eastAsia="Calibri"/>
          <w:szCs w:val="24"/>
          <w:lang w:val="en-US" w:eastAsia="en-US"/>
        </w:rPr>
        <w:t>Tapping deep pockets: The role of resources and social capital on financial capital acquisition by biotechnology firms in biotech-pharma alliances. Journal of Management Studies. Vol. 45, No. 8, pp. 1354-1376.</w:t>
      </w:r>
    </w:p>
    <w:p w14:paraId="7C2027B4"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lastRenderedPageBreak/>
        <w:t>Gulati, R. (1995). Social Structure and Alliance Formation Patterns: A Longitudinal Analysis. Administrative Science Quarterly, 40(4), 619. https://doi.org/10.2307/2393756</w:t>
      </w:r>
    </w:p>
    <w:p w14:paraId="78A020EB"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Gulati, R., &amp; Singh, H. (1998). The Architecture of Cooperation: Managing Coordination Costs and Appropriation Concerns in Strategic Alliances. Administrative Science Quarterly, 43(4), 781. https://doi.org/10.2307/2393616</w:t>
      </w:r>
    </w:p>
    <w:p w14:paraId="321BD33B" w14:textId="77777777" w:rsidR="00F95572" w:rsidRPr="00F95572" w:rsidRDefault="00F95572" w:rsidP="00F95572">
      <w:pPr>
        <w:spacing w:after="200" w:line="276" w:lineRule="auto"/>
        <w:ind w:left="567" w:hanging="567"/>
        <w:rPr>
          <w:rFonts w:eastAsia="Calibri"/>
          <w:szCs w:val="24"/>
          <w:lang w:val="en-US" w:eastAsia="en-US"/>
        </w:rPr>
      </w:pPr>
      <w:proofErr w:type="spellStart"/>
      <w:r w:rsidRPr="00F95572">
        <w:rPr>
          <w:rFonts w:eastAsia="Calibri"/>
          <w:szCs w:val="24"/>
          <w:lang w:val="en-US" w:eastAsia="en-US"/>
        </w:rPr>
        <w:t>Haeussler</w:t>
      </w:r>
      <w:proofErr w:type="spellEnd"/>
      <w:r w:rsidRPr="00F95572">
        <w:rPr>
          <w:rFonts w:eastAsia="Calibri"/>
          <w:szCs w:val="24"/>
          <w:lang w:val="en-US" w:eastAsia="en-US"/>
        </w:rPr>
        <w:t xml:space="preserve">, C., &amp; </w:t>
      </w:r>
      <w:proofErr w:type="spellStart"/>
      <w:r w:rsidRPr="00F95572">
        <w:rPr>
          <w:rFonts w:eastAsia="Calibri"/>
          <w:szCs w:val="24"/>
          <w:lang w:val="en-US" w:eastAsia="en-US"/>
        </w:rPr>
        <w:t>Patzelt</w:t>
      </w:r>
      <w:proofErr w:type="spellEnd"/>
      <w:r w:rsidRPr="00F95572">
        <w:rPr>
          <w:rFonts w:eastAsia="Calibri"/>
          <w:szCs w:val="24"/>
          <w:lang w:val="en-US" w:eastAsia="en-US"/>
        </w:rPr>
        <w:t>, H. (2008). STRATEGIC ALLIANCES AND PRODUCT DEVELOPMENT IN NEW TECHNOLOGY FIRMS: THE MODERATING EFFECT OF TECHNOLOGICAL CAPABILITIES. Frontiers of Entrepreneurship Research, 28(15). Retrieved from https://digitalknowledge.babson.edu/fer/vol28/iss15/1</w:t>
      </w:r>
    </w:p>
    <w:p w14:paraId="70833BA6"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 xml:space="preserve">Janney, J., Venturing, T. F.-J. of B., &amp; </w:t>
      </w:r>
      <w:proofErr w:type="gramStart"/>
      <w:r w:rsidRPr="00F95572">
        <w:rPr>
          <w:rFonts w:eastAsia="Calibri"/>
          <w:szCs w:val="24"/>
          <w:lang w:val="en-US" w:eastAsia="en-US"/>
        </w:rPr>
        <w:t>2006,  undefined</w:t>
      </w:r>
      <w:proofErr w:type="gramEnd"/>
      <w:r w:rsidRPr="00F95572">
        <w:rPr>
          <w:rFonts w:eastAsia="Calibri"/>
          <w:szCs w:val="24"/>
          <w:lang w:val="en-US" w:eastAsia="en-US"/>
        </w:rPr>
        <w:t>. (n.d.). Moderating effects of investor experience on the signaling value of private equity placements. Elsevier. Retrieved from https://www.sciencedirect.com/science/article/pii/S0883902605000443</w:t>
      </w:r>
    </w:p>
    <w:p w14:paraId="75943880"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 xml:space="preserve">Kaplan, S., &amp; </w:t>
      </w:r>
      <w:proofErr w:type="spellStart"/>
      <w:r w:rsidRPr="00F95572">
        <w:rPr>
          <w:rFonts w:eastAsia="Calibri"/>
          <w:szCs w:val="24"/>
          <w:lang w:val="en-US" w:eastAsia="en-US"/>
        </w:rPr>
        <w:t>Vakili</w:t>
      </w:r>
      <w:proofErr w:type="spellEnd"/>
      <w:r w:rsidRPr="00F95572">
        <w:rPr>
          <w:rFonts w:eastAsia="Calibri"/>
          <w:szCs w:val="24"/>
          <w:lang w:val="en-US" w:eastAsia="en-US"/>
        </w:rPr>
        <w:t>, K. (2015). The double-edged sword of recombination in breakthrough innovation. Strategic Management Journal, 36(10), 1435–1457. https://doi.org/10.1002/smj.2294</w:t>
      </w:r>
    </w:p>
    <w:p w14:paraId="5248879A"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 xml:space="preserve">Kaplan, S., &amp; </w:t>
      </w:r>
      <w:proofErr w:type="spellStart"/>
      <w:r w:rsidRPr="00F95572">
        <w:rPr>
          <w:rFonts w:eastAsia="Calibri"/>
          <w:szCs w:val="24"/>
          <w:lang w:val="en-US" w:eastAsia="en-US"/>
        </w:rPr>
        <w:t>Vakili</w:t>
      </w:r>
      <w:proofErr w:type="spellEnd"/>
      <w:r w:rsidRPr="00F95572">
        <w:rPr>
          <w:rFonts w:eastAsia="Calibri"/>
          <w:szCs w:val="24"/>
          <w:lang w:val="en-US" w:eastAsia="en-US"/>
        </w:rPr>
        <w:t>, K. (2015). The double</w:t>
      </w:r>
      <w:r w:rsidRPr="00F95572">
        <w:rPr>
          <w:rFonts w:ascii="Cambria Math" w:eastAsia="Calibri" w:hAnsi="Cambria Math" w:cs="Cambria Math"/>
          <w:szCs w:val="24"/>
          <w:lang w:val="en-US" w:eastAsia="en-US"/>
        </w:rPr>
        <w:t>‐</w:t>
      </w:r>
      <w:r w:rsidRPr="00F95572">
        <w:rPr>
          <w:rFonts w:eastAsia="Calibri"/>
          <w:szCs w:val="24"/>
          <w:lang w:val="en-US" w:eastAsia="en-US"/>
        </w:rPr>
        <w:t>edged sword of recombination in breakthrough innovation. Strategic Management Journal, 36(10), 1435-1457.</w:t>
      </w:r>
    </w:p>
    <w:p w14:paraId="4386F796"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Lerner, J. and Merges, R.P., 1998. The control of technology alliances: An empirical analysis of the biotechnology industry. The Journal of Industrial Economics, 46(2), pp.125-156.</w:t>
      </w:r>
    </w:p>
    <w:p w14:paraId="2BD50AC3"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Lerner, J., &amp; Merges, R. P. (1998). The Control of Technology Alliances: An Empirical Analysis of the Biotechnology Industry. The Journal of Industrial Economics, 46(2), 125–156. https://doi.org/10.1111/1467-6451.00066</w:t>
      </w:r>
    </w:p>
    <w:p w14:paraId="270AA971"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 xml:space="preserve">Mason, R., &amp; </w:t>
      </w:r>
      <w:proofErr w:type="spellStart"/>
      <w:r w:rsidRPr="00F95572">
        <w:rPr>
          <w:rFonts w:eastAsia="Calibri"/>
          <w:szCs w:val="24"/>
          <w:lang w:val="en-US" w:eastAsia="en-US"/>
        </w:rPr>
        <w:t>Drakeman</w:t>
      </w:r>
      <w:proofErr w:type="spellEnd"/>
      <w:r w:rsidRPr="00F95572">
        <w:rPr>
          <w:rFonts w:eastAsia="Calibri"/>
          <w:szCs w:val="24"/>
          <w:lang w:val="en-US" w:eastAsia="en-US"/>
        </w:rPr>
        <w:t xml:space="preserve">, D. L. (2014). Comment on “fishing for sharks: Partner selection in biopharmaceutical R&amp;D alliances” by </w:t>
      </w:r>
      <w:proofErr w:type="spellStart"/>
      <w:r w:rsidRPr="00F95572">
        <w:rPr>
          <w:rFonts w:eastAsia="Calibri"/>
          <w:szCs w:val="24"/>
          <w:lang w:val="en-US" w:eastAsia="en-US"/>
        </w:rPr>
        <w:t>diestre</w:t>
      </w:r>
      <w:proofErr w:type="spellEnd"/>
      <w:r w:rsidRPr="00F95572">
        <w:rPr>
          <w:rFonts w:eastAsia="Calibri"/>
          <w:szCs w:val="24"/>
          <w:lang w:val="en-US" w:eastAsia="en-US"/>
        </w:rPr>
        <w:t xml:space="preserve"> and </w:t>
      </w:r>
      <w:proofErr w:type="spellStart"/>
      <w:r w:rsidRPr="00F95572">
        <w:rPr>
          <w:rFonts w:eastAsia="Calibri"/>
          <w:szCs w:val="24"/>
          <w:lang w:val="en-US" w:eastAsia="en-US"/>
        </w:rPr>
        <w:t>rajagopalan</w:t>
      </w:r>
      <w:proofErr w:type="spellEnd"/>
      <w:r w:rsidRPr="00F95572">
        <w:rPr>
          <w:rFonts w:eastAsia="Calibri"/>
          <w:szCs w:val="24"/>
          <w:lang w:val="en-US" w:eastAsia="en-US"/>
        </w:rPr>
        <w:t>. Strategic Management Journal, 35(10), 1564–1565. https://doi.org/10.1002/smj.2177</w:t>
      </w:r>
    </w:p>
    <w:p w14:paraId="5F131C48" w14:textId="77777777" w:rsidR="00F95572" w:rsidRPr="00F95572" w:rsidRDefault="00F95572" w:rsidP="00F95572">
      <w:pPr>
        <w:spacing w:after="200" w:line="276" w:lineRule="auto"/>
        <w:ind w:left="567" w:hanging="567"/>
        <w:rPr>
          <w:rFonts w:eastAsia="Calibri"/>
          <w:szCs w:val="24"/>
          <w:lang w:val="en-US" w:eastAsia="en-US"/>
        </w:rPr>
      </w:pPr>
      <w:proofErr w:type="spellStart"/>
      <w:r w:rsidRPr="00F95572">
        <w:rPr>
          <w:rFonts w:eastAsia="Calibri"/>
          <w:szCs w:val="24"/>
          <w:lang w:val="en-US" w:eastAsia="en-US"/>
        </w:rPr>
        <w:t>Mindruta</w:t>
      </w:r>
      <w:proofErr w:type="spellEnd"/>
      <w:r w:rsidRPr="00F95572">
        <w:rPr>
          <w:rFonts w:eastAsia="Calibri"/>
          <w:szCs w:val="24"/>
          <w:lang w:val="en-US" w:eastAsia="en-US"/>
        </w:rPr>
        <w:t xml:space="preserve">, D., </w:t>
      </w:r>
      <w:proofErr w:type="spellStart"/>
      <w:r w:rsidRPr="00F95572">
        <w:rPr>
          <w:rFonts w:eastAsia="Calibri"/>
          <w:szCs w:val="24"/>
          <w:lang w:val="en-US" w:eastAsia="en-US"/>
        </w:rPr>
        <w:t>Moeen</w:t>
      </w:r>
      <w:proofErr w:type="spellEnd"/>
      <w:r w:rsidRPr="00F95572">
        <w:rPr>
          <w:rFonts w:eastAsia="Calibri"/>
          <w:szCs w:val="24"/>
          <w:lang w:val="en-US" w:eastAsia="en-US"/>
        </w:rPr>
        <w:t>, M. and Agarwal, R., 2016. A two</w:t>
      </w:r>
      <w:r w:rsidRPr="00F95572">
        <w:rPr>
          <w:rFonts w:ascii="Cambria Math" w:eastAsia="Calibri" w:hAnsi="Cambria Math" w:cs="Cambria Math"/>
          <w:szCs w:val="24"/>
          <w:lang w:val="en-US" w:eastAsia="en-US"/>
        </w:rPr>
        <w:t>‐</w:t>
      </w:r>
      <w:r w:rsidRPr="00F95572">
        <w:rPr>
          <w:rFonts w:eastAsia="Calibri"/>
          <w:szCs w:val="24"/>
          <w:lang w:val="en-US" w:eastAsia="en-US"/>
        </w:rPr>
        <w:t>sided matching approach for partner selection and assessing complementarities in partners' attributes in inter</w:t>
      </w:r>
      <w:r w:rsidRPr="00F95572">
        <w:rPr>
          <w:rFonts w:ascii="Cambria Math" w:eastAsia="Calibri" w:hAnsi="Cambria Math" w:cs="Cambria Math"/>
          <w:szCs w:val="24"/>
          <w:lang w:val="en-US" w:eastAsia="en-US"/>
        </w:rPr>
        <w:t>‐</w:t>
      </w:r>
      <w:r w:rsidRPr="00F95572">
        <w:rPr>
          <w:rFonts w:eastAsia="Calibri"/>
          <w:szCs w:val="24"/>
          <w:lang w:val="en-US" w:eastAsia="en-US"/>
        </w:rPr>
        <w:t>firm alliances. Strategic Management Journal, 37(1), pp.206-231.</w:t>
      </w:r>
    </w:p>
    <w:p w14:paraId="7B30D3E3"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 xml:space="preserve">Moorthy, S., &amp; </w:t>
      </w:r>
      <w:proofErr w:type="spellStart"/>
      <w:r w:rsidRPr="00F95572">
        <w:rPr>
          <w:rFonts w:eastAsia="Calibri"/>
          <w:szCs w:val="24"/>
          <w:lang w:val="en-US" w:eastAsia="en-US"/>
        </w:rPr>
        <w:t>Polley</w:t>
      </w:r>
      <w:proofErr w:type="spellEnd"/>
      <w:r w:rsidRPr="00F95572">
        <w:rPr>
          <w:rFonts w:eastAsia="Calibri"/>
          <w:szCs w:val="24"/>
          <w:lang w:val="en-US" w:eastAsia="en-US"/>
        </w:rPr>
        <w:t>, D. E. (2010). Technological knowledge breadth and depth: performance impacts. Journal of Knowledge Management, 14(3), 359–377. https://doi.org/10.1108/13673271011050102</w:t>
      </w:r>
    </w:p>
    <w:p w14:paraId="1B3DB496"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 xml:space="preserve">Rothaermel, F. T., &amp; </w:t>
      </w:r>
      <w:proofErr w:type="spellStart"/>
      <w:r w:rsidRPr="00F95572">
        <w:rPr>
          <w:rFonts w:eastAsia="Calibri"/>
          <w:szCs w:val="24"/>
          <w:lang w:val="en-US" w:eastAsia="en-US"/>
        </w:rPr>
        <w:t>Boeker</w:t>
      </w:r>
      <w:proofErr w:type="spellEnd"/>
      <w:r w:rsidRPr="00F95572">
        <w:rPr>
          <w:rFonts w:eastAsia="Calibri"/>
          <w:szCs w:val="24"/>
          <w:lang w:val="en-US" w:eastAsia="en-US"/>
        </w:rPr>
        <w:t>, W. (2008). Old technology meets new technology: complementarities, similarities, and alliance formation. Strategic Management Journal, 29(1), 47–77. https://doi.org/10.1002/smj.634</w:t>
      </w:r>
    </w:p>
    <w:p w14:paraId="2945A168"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lastRenderedPageBreak/>
        <w:t>Rothaermel, F. T., &amp; Deeds, D. L. (2004). Exploration and exploitation alliances in biotechnology: a system of new product development. Strategic Management Journal, 25(3), 201–221. https://doi.org/10.1002/smj.376</w:t>
      </w:r>
    </w:p>
    <w:p w14:paraId="6F4DCE1F"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 xml:space="preserve">Santoro, M. &amp; </w:t>
      </w:r>
      <w:proofErr w:type="spellStart"/>
      <w:r w:rsidRPr="00F95572">
        <w:rPr>
          <w:rFonts w:eastAsia="Calibri"/>
          <w:szCs w:val="24"/>
          <w:lang w:val="en-US" w:eastAsia="en-US"/>
        </w:rPr>
        <w:t>Bierly</w:t>
      </w:r>
      <w:proofErr w:type="spellEnd"/>
      <w:r w:rsidRPr="00F95572">
        <w:rPr>
          <w:rFonts w:eastAsia="Calibri"/>
          <w:szCs w:val="24"/>
          <w:lang w:val="en-US" w:eastAsia="en-US"/>
        </w:rPr>
        <w:t>, P. (2006). Facilitators of knowledge transfer in university-industry collaborations: A knowledge-based perspective. IEEE Transactions on Engineering Management, Vol. 53, No. 4, pp. 495-507.</w:t>
      </w:r>
    </w:p>
    <w:p w14:paraId="16E97612"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Santoro, M.D. 2013. Uncertainty, governance alignment, and firm performance in biotechnology alliances. International Journal of Biotechnology, Vol. 12, No. 4: 225-248.</w:t>
      </w:r>
    </w:p>
    <w:p w14:paraId="15635F4B" w14:textId="19219294" w:rsid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 xml:space="preserve">Shan, W., Walker, G., &amp; </w:t>
      </w:r>
      <w:proofErr w:type="spellStart"/>
      <w:r w:rsidRPr="00F95572">
        <w:rPr>
          <w:rFonts w:eastAsia="Calibri"/>
          <w:szCs w:val="24"/>
          <w:lang w:val="en-US" w:eastAsia="en-US"/>
        </w:rPr>
        <w:t>Kogut</w:t>
      </w:r>
      <w:proofErr w:type="spellEnd"/>
      <w:r w:rsidRPr="00F95572">
        <w:rPr>
          <w:rFonts w:eastAsia="Calibri"/>
          <w:szCs w:val="24"/>
          <w:lang w:val="en-US" w:eastAsia="en-US"/>
        </w:rPr>
        <w:t xml:space="preserve">, B. (1994). Interfirm cooperation and startup innovation in the biotechnology industry. Strategic Management Journal, 15(5), 387–394. </w:t>
      </w:r>
    </w:p>
    <w:p w14:paraId="3B5C190A" w14:textId="3800EEC4" w:rsidR="009C0205" w:rsidRPr="00F95572" w:rsidRDefault="009C0205" w:rsidP="009C0205">
      <w:pPr>
        <w:spacing w:after="200" w:line="276" w:lineRule="auto"/>
        <w:ind w:left="567" w:hanging="567"/>
        <w:rPr>
          <w:rFonts w:eastAsia="Calibri"/>
          <w:szCs w:val="24"/>
          <w:lang w:val="en-US" w:eastAsia="en-US"/>
        </w:rPr>
      </w:pPr>
      <w:proofErr w:type="spellStart"/>
      <w:r w:rsidRPr="009C0205">
        <w:rPr>
          <w:rFonts w:eastAsia="Calibri"/>
          <w:szCs w:val="24"/>
          <w:lang w:val="es-ES" w:eastAsia="en-US"/>
        </w:rPr>
        <w:t>Srivastava</w:t>
      </w:r>
      <w:proofErr w:type="spellEnd"/>
      <w:r w:rsidRPr="009C0205">
        <w:rPr>
          <w:rFonts w:eastAsia="Calibri"/>
          <w:szCs w:val="24"/>
          <w:lang w:val="es-ES" w:eastAsia="en-US"/>
        </w:rPr>
        <w:t xml:space="preserve">, M. K., &amp; </w:t>
      </w:r>
      <w:proofErr w:type="spellStart"/>
      <w:r w:rsidRPr="009C0205">
        <w:rPr>
          <w:rFonts w:eastAsia="Calibri"/>
          <w:szCs w:val="24"/>
          <w:lang w:val="es-ES" w:eastAsia="en-US"/>
        </w:rPr>
        <w:t>Laplume</w:t>
      </w:r>
      <w:proofErr w:type="spellEnd"/>
      <w:r w:rsidRPr="009C0205">
        <w:rPr>
          <w:rFonts w:eastAsia="Calibri"/>
          <w:szCs w:val="24"/>
          <w:lang w:val="es-ES" w:eastAsia="en-US"/>
        </w:rPr>
        <w:t xml:space="preserve">, A. O. (2014). </w:t>
      </w:r>
      <w:r w:rsidRPr="009C0205">
        <w:rPr>
          <w:rFonts w:eastAsia="Calibri"/>
          <w:szCs w:val="24"/>
          <w:lang w:val="en-US" w:eastAsia="en-US"/>
        </w:rPr>
        <w:t>Matching technology strategy with knowledge structure: Impact on firm's Tobin's q in the semiconductor industry. Journal of Engineering and Technology Management, 33, 93-112.</w:t>
      </w:r>
    </w:p>
    <w:p w14:paraId="204B700D"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Walker, R. D. (1995). Patents as scientific and technical literature. Scarecrow Press.</w:t>
      </w:r>
    </w:p>
    <w:p w14:paraId="09167838" w14:textId="77777777" w:rsidR="00F95572" w:rsidRPr="00F95572" w:rsidRDefault="00F95572" w:rsidP="00F95572">
      <w:pPr>
        <w:spacing w:after="200" w:line="276" w:lineRule="auto"/>
        <w:ind w:left="567" w:hanging="567"/>
        <w:rPr>
          <w:rFonts w:eastAsia="Calibri"/>
          <w:szCs w:val="24"/>
          <w:lang w:val="en-US" w:eastAsia="en-US"/>
        </w:rPr>
      </w:pPr>
      <w:r w:rsidRPr="00F95572">
        <w:rPr>
          <w:rFonts w:eastAsia="Calibri"/>
          <w:szCs w:val="24"/>
          <w:lang w:val="en-US" w:eastAsia="en-US"/>
        </w:rPr>
        <w:t xml:space="preserve">Zhang, J., Baden-Fuller, C., &amp; </w:t>
      </w:r>
      <w:proofErr w:type="spellStart"/>
      <w:r w:rsidRPr="00F95572">
        <w:rPr>
          <w:rFonts w:eastAsia="Calibri"/>
          <w:szCs w:val="24"/>
          <w:lang w:val="en-US" w:eastAsia="en-US"/>
        </w:rPr>
        <w:t>Mangematin</w:t>
      </w:r>
      <w:proofErr w:type="spellEnd"/>
      <w:r w:rsidRPr="00F95572">
        <w:rPr>
          <w:rFonts w:eastAsia="Calibri"/>
          <w:szCs w:val="24"/>
          <w:lang w:val="en-US" w:eastAsia="en-US"/>
        </w:rPr>
        <w:t>, V. (2007). Technological knowledge base, R&amp;D organization structure and alliance formation: Evidence from the biopharmaceutical industry. Research Policy, 36(4), 515–528. https://doi.org/10.1016/j.respol.2007.02.015</w:t>
      </w:r>
    </w:p>
    <w:p w14:paraId="19598520" w14:textId="77777777" w:rsidR="004A7012" w:rsidRPr="00594F2B" w:rsidRDefault="004A7012" w:rsidP="006210C8">
      <w:pPr>
        <w:pStyle w:val="SalehProyectoTesisFormatting"/>
        <w:ind w:firstLine="0"/>
      </w:pPr>
    </w:p>
    <w:p w14:paraId="1A54D3B3" w14:textId="5527B1C2" w:rsidR="004A7012" w:rsidRDefault="004A7012" w:rsidP="006210C8">
      <w:pPr>
        <w:pStyle w:val="SalehProyectoTesisFormatting"/>
        <w:ind w:firstLine="0"/>
      </w:pPr>
    </w:p>
    <w:p w14:paraId="6EDB3591" w14:textId="6AA2F090" w:rsidR="00096B45" w:rsidRDefault="00096B45" w:rsidP="006210C8">
      <w:pPr>
        <w:pStyle w:val="SalehProyectoTesisFormatting"/>
        <w:ind w:firstLine="0"/>
      </w:pPr>
    </w:p>
    <w:p w14:paraId="07F3ABF1" w14:textId="2A17F80C" w:rsidR="00096B45" w:rsidRDefault="00096B45" w:rsidP="006210C8">
      <w:pPr>
        <w:pStyle w:val="SalehProyectoTesisFormatting"/>
        <w:ind w:firstLine="0"/>
      </w:pPr>
    </w:p>
    <w:p w14:paraId="7493A060" w14:textId="5E7C6FAB" w:rsidR="00096B45" w:rsidRDefault="00096B45" w:rsidP="006210C8">
      <w:pPr>
        <w:pStyle w:val="SalehProyectoTesisFormatting"/>
        <w:ind w:firstLine="0"/>
      </w:pPr>
    </w:p>
    <w:p w14:paraId="66D4E96E" w14:textId="110C19E6" w:rsidR="00096B45" w:rsidRDefault="00096B45" w:rsidP="006210C8">
      <w:pPr>
        <w:pStyle w:val="SalehProyectoTesisFormatting"/>
        <w:ind w:firstLine="0"/>
      </w:pPr>
    </w:p>
    <w:p w14:paraId="184A467A" w14:textId="747E7974" w:rsidR="00096B45" w:rsidRDefault="00096B45" w:rsidP="006210C8">
      <w:pPr>
        <w:pStyle w:val="SalehProyectoTesisFormatting"/>
        <w:ind w:firstLine="0"/>
      </w:pPr>
    </w:p>
    <w:p w14:paraId="33064DC1" w14:textId="13E1AD46" w:rsidR="00096B45" w:rsidRDefault="00096B45" w:rsidP="006210C8">
      <w:pPr>
        <w:pStyle w:val="SalehProyectoTesisFormatting"/>
        <w:ind w:firstLine="0"/>
      </w:pPr>
    </w:p>
    <w:p w14:paraId="53C106D5" w14:textId="2F300042" w:rsidR="00096B45" w:rsidRDefault="00096B45" w:rsidP="006210C8">
      <w:pPr>
        <w:pStyle w:val="SalehProyectoTesisFormatting"/>
        <w:ind w:firstLine="0"/>
      </w:pPr>
    </w:p>
    <w:p w14:paraId="5F86A683" w14:textId="4BAED4D1" w:rsidR="00096B45" w:rsidRDefault="00096B45" w:rsidP="006210C8">
      <w:pPr>
        <w:pStyle w:val="SalehProyectoTesisFormatting"/>
        <w:ind w:firstLine="0"/>
      </w:pPr>
    </w:p>
    <w:p w14:paraId="0D273EFB" w14:textId="77777777" w:rsidR="00096B45" w:rsidRPr="00594F2B" w:rsidRDefault="00096B45" w:rsidP="006210C8">
      <w:pPr>
        <w:pStyle w:val="SalehProyectoTesisFormatting"/>
        <w:ind w:firstLine="0"/>
      </w:pPr>
    </w:p>
    <w:p w14:paraId="6C4B263F" w14:textId="77777777" w:rsidR="005C4FA3" w:rsidRPr="00594F2B" w:rsidRDefault="005C4FA3" w:rsidP="006210C8">
      <w:pPr>
        <w:pStyle w:val="SalehProyectoTesisFormatting"/>
        <w:ind w:firstLine="0"/>
      </w:pPr>
    </w:p>
    <w:p w14:paraId="00EEB993" w14:textId="77777777" w:rsidR="00096B45" w:rsidRDefault="00096B45" w:rsidP="00946004">
      <w:pPr>
        <w:pStyle w:val="SalehProyectoTesisFormatting"/>
        <w:jc w:val="center"/>
        <w:rPr>
          <w:b/>
          <w:bCs/>
        </w:rPr>
      </w:pPr>
    </w:p>
    <w:p w14:paraId="1D94F1A0" w14:textId="77777777" w:rsidR="00096B45" w:rsidRDefault="00096B45" w:rsidP="00946004">
      <w:pPr>
        <w:pStyle w:val="SalehProyectoTesisFormatting"/>
        <w:jc w:val="center"/>
        <w:rPr>
          <w:b/>
          <w:bCs/>
        </w:rPr>
      </w:pPr>
    </w:p>
    <w:p w14:paraId="790D1E11" w14:textId="6151E397" w:rsidR="004A7012" w:rsidRPr="00594F2B" w:rsidRDefault="00946004" w:rsidP="00946004">
      <w:pPr>
        <w:pStyle w:val="SalehProyectoTesisFormatting"/>
        <w:jc w:val="center"/>
      </w:pPr>
      <w:proofErr w:type="spellStart"/>
      <w:r w:rsidRPr="00594F2B">
        <w:rPr>
          <w:b/>
          <w:bCs/>
        </w:rPr>
        <w:t>Tabel</w:t>
      </w:r>
      <w:proofErr w:type="spellEnd"/>
      <w:r w:rsidRPr="00594F2B">
        <w:rPr>
          <w:b/>
          <w:bCs/>
        </w:rPr>
        <w:t xml:space="preserve"> 1: Descriptive Statistics and Correlations</w:t>
      </w:r>
    </w:p>
    <w:tbl>
      <w:tblPr>
        <w:tblpPr w:leftFromText="180" w:rightFromText="180" w:vertAnchor="text" w:horzAnchor="page" w:tblpXSpec="center" w:tblpY="302"/>
        <w:tblW w:w="9915" w:type="dxa"/>
        <w:tblLayout w:type="fixed"/>
        <w:tblLook w:val="04A0" w:firstRow="1" w:lastRow="0" w:firstColumn="1" w:lastColumn="0" w:noHBand="0" w:noVBand="1"/>
      </w:tblPr>
      <w:tblGrid>
        <w:gridCol w:w="1080"/>
        <w:gridCol w:w="666"/>
        <w:gridCol w:w="1134"/>
        <w:gridCol w:w="860"/>
        <w:gridCol w:w="846"/>
        <w:gridCol w:w="767"/>
        <w:gridCol w:w="142"/>
        <w:gridCol w:w="992"/>
        <w:gridCol w:w="623"/>
        <w:gridCol w:w="228"/>
        <w:gridCol w:w="850"/>
        <w:gridCol w:w="851"/>
        <w:gridCol w:w="876"/>
      </w:tblGrid>
      <w:tr w:rsidR="00DD62DA" w:rsidRPr="00594F2B" w14:paraId="74B941A7" w14:textId="77777777" w:rsidTr="00DD62DA">
        <w:trPr>
          <w:trHeight w:val="497"/>
        </w:trPr>
        <w:tc>
          <w:tcPr>
            <w:tcW w:w="1080" w:type="dxa"/>
            <w:tcBorders>
              <w:top w:val="single" w:sz="4" w:space="0" w:color="auto"/>
              <w:left w:val="nil"/>
              <w:bottom w:val="single" w:sz="8" w:space="0" w:color="auto"/>
              <w:right w:val="nil"/>
            </w:tcBorders>
            <w:shd w:val="clear" w:color="auto" w:fill="auto"/>
            <w:vAlign w:val="center"/>
            <w:hideMark/>
          </w:tcPr>
          <w:p w14:paraId="3127CB95" w14:textId="77777777" w:rsidR="00DD62DA" w:rsidRPr="00594F2B" w:rsidRDefault="00DD62DA" w:rsidP="00DD62DA">
            <w:pPr>
              <w:jc w:val="center"/>
              <w:rPr>
                <w:color w:val="000000"/>
                <w:sz w:val="18"/>
                <w:szCs w:val="18"/>
                <w:lang w:val="en-US" w:eastAsia="en-US"/>
              </w:rPr>
            </w:pPr>
          </w:p>
        </w:tc>
        <w:tc>
          <w:tcPr>
            <w:tcW w:w="666" w:type="dxa"/>
            <w:tcBorders>
              <w:top w:val="single" w:sz="4" w:space="0" w:color="auto"/>
              <w:left w:val="nil"/>
              <w:bottom w:val="single" w:sz="8" w:space="0" w:color="auto"/>
              <w:right w:val="nil"/>
            </w:tcBorders>
            <w:shd w:val="clear" w:color="auto" w:fill="auto"/>
            <w:vAlign w:val="center"/>
            <w:hideMark/>
          </w:tcPr>
          <w:p w14:paraId="5EB9EED7"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Mean</w:t>
            </w:r>
          </w:p>
        </w:tc>
        <w:tc>
          <w:tcPr>
            <w:tcW w:w="1134" w:type="dxa"/>
            <w:tcBorders>
              <w:top w:val="single" w:sz="4" w:space="0" w:color="auto"/>
              <w:left w:val="nil"/>
              <w:bottom w:val="single" w:sz="8" w:space="0" w:color="auto"/>
              <w:right w:val="nil"/>
            </w:tcBorders>
            <w:shd w:val="clear" w:color="auto" w:fill="auto"/>
            <w:vAlign w:val="center"/>
            <w:hideMark/>
          </w:tcPr>
          <w:p w14:paraId="1E0C9489"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SD</w:t>
            </w:r>
          </w:p>
        </w:tc>
        <w:tc>
          <w:tcPr>
            <w:tcW w:w="860" w:type="dxa"/>
            <w:tcBorders>
              <w:top w:val="single" w:sz="4" w:space="0" w:color="auto"/>
              <w:left w:val="nil"/>
              <w:bottom w:val="single" w:sz="8" w:space="0" w:color="auto"/>
              <w:right w:val="nil"/>
            </w:tcBorders>
            <w:shd w:val="clear" w:color="auto" w:fill="auto"/>
            <w:vAlign w:val="center"/>
            <w:hideMark/>
          </w:tcPr>
          <w:p w14:paraId="63AB0ADB" w14:textId="77777777" w:rsidR="00DD62DA" w:rsidRPr="00594F2B" w:rsidRDefault="00DD62DA" w:rsidP="00DD62DA">
            <w:pPr>
              <w:spacing w:line="480" w:lineRule="auto"/>
              <w:jc w:val="center"/>
              <w:rPr>
                <w:b/>
                <w:bCs/>
                <w:color w:val="000000"/>
                <w:sz w:val="18"/>
                <w:szCs w:val="18"/>
                <w:lang w:val="en-US" w:eastAsia="en-US"/>
              </w:rPr>
            </w:pPr>
            <w:r w:rsidRPr="00594F2B">
              <w:rPr>
                <w:b/>
                <w:bCs/>
                <w:color w:val="000000"/>
                <w:sz w:val="18"/>
                <w:szCs w:val="18"/>
                <w:lang w:val="en-US" w:eastAsia="en-US"/>
              </w:rPr>
              <w:t>Depth</w:t>
            </w:r>
          </w:p>
        </w:tc>
        <w:tc>
          <w:tcPr>
            <w:tcW w:w="846" w:type="dxa"/>
            <w:tcBorders>
              <w:top w:val="single" w:sz="4" w:space="0" w:color="auto"/>
              <w:left w:val="nil"/>
              <w:bottom w:val="single" w:sz="8" w:space="0" w:color="auto"/>
              <w:right w:val="nil"/>
            </w:tcBorders>
            <w:shd w:val="clear" w:color="auto" w:fill="auto"/>
            <w:vAlign w:val="center"/>
            <w:hideMark/>
          </w:tcPr>
          <w:p w14:paraId="33CC7184" w14:textId="77777777" w:rsidR="00DD62DA" w:rsidRPr="00594F2B" w:rsidRDefault="00DD62DA" w:rsidP="00DD62DA">
            <w:pPr>
              <w:spacing w:line="480" w:lineRule="auto"/>
              <w:jc w:val="center"/>
              <w:rPr>
                <w:b/>
                <w:bCs/>
                <w:color w:val="000000"/>
                <w:sz w:val="18"/>
                <w:szCs w:val="18"/>
                <w:lang w:val="en-US" w:eastAsia="en-US"/>
              </w:rPr>
            </w:pPr>
            <w:r w:rsidRPr="00594F2B">
              <w:rPr>
                <w:b/>
                <w:bCs/>
                <w:color w:val="000000"/>
                <w:sz w:val="18"/>
                <w:szCs w:val="18"/>
                <w:lang w:val="en-US" w:eastAsia="en-US"/>
              </w:rPr>
              <w:t>Breadth</w:t>
            </w:r>
          </w:p>
        </w:tc>
        <w:tc>
          <w:tcPr>
            <w:tcW w:w="767" w:type="dxa"/>
            <w:tcBorders>
              <w:top w:val="single" w:sz="4" w:space="0" w:color="auto"/>
              <w:left w:val="nil"/>
              <w:bottom w:val="single" w:sz="8" w:space="0" w:color="auto"/>
              <w:right w:val="nil"/>
            </w:tcBorders>
            <w:shd w:val="clear" w:color="auto" w:fill="auto"/>
            <w:vAlign w:val="center"/>
            <w:hideMark/>
          </w:tcPr>
          <w:p w14:paraId="452B9564" w14:textId="77777777" w:rsidR="00DD62DA" w:rsidRPr="00594F2B" w:rsidRDefault="00DD62DA" w:rsidP="00DD62DA">
            <w:pPr>
              <w:spacing w:line="480" w:lineRule="auto"/>
              <w:jc w:val="center"/>
              <w:rPr>
                <w:b/>
                <w:bCs/>
                <w:color w:val="000000"/>
                <w:sz w:val="18"/>
                <w:szCs w:val="18"/>
                <w:lang w:val="en-US" w:eastAsia="en-US"/>
              </w:rPr>
            </w:pPr>
            <w:r w:rsidRPr="00594F2B">
              <w:rPr>
                <w:b/>
                <w:bCs/>
                <w:color w:val="000000"/>
                <w:sz w:val="18"/>
                <w:szCs w:val="18"/>
                <w:lang w:val="en-US" w:eastAsia="en-US"/>
              </w:rPr>
              <w:t>Firm Size</w:t>
            </w:r>
          </w:p>
        </w:tc>
        <w:tc>
          <w:tcPr>
            <w:tcW w:w="1134" w:type="dxa"/>
            <w:gridSpan w:val="2"/>
            <w:tcBorders>
              <w:top w:val="single" w:sz="4" w:space="0" w:color="auto"/>
              <w:left w:val="nil"/>
              <w:bottom w:val="single" w:sz="8" w:space="0" w:color="auto"/>
              <w:right w:val="nil"/>
            </w:tcBorders>
            <w:shd w:val="clear" w:color="auto" w:fill="auto"/>
            <w:vAlign w:val="center"/>
            <w:hideMark/>
          </w:tcPr>
          <w:p w14:paraId="340EFF43" w14:textId="77777777" w:rsidR="00DD62DA" w:rsidRPr="00594F2B" w:rsidRDefault="00DD62DA" w:rsidP="00DD62DA">
            <w:pPr>
              <w:spacing w:line="480" w:lineRule="auto"/>
              <w:jc w:val="center"/>
              <w:rPr>
                <w:b/>
                <w:bCs/>
                <w:color w:val="000000"/>
                <w:sz w:val="18"/>
                <w:szCs w:val="18"/>
                <w:lang w:val="en-US" w:eastAsia="en-US"/>
              </w:rPr>
            </w:pPr>
            <w:r w:rsidRPr="00594F2B">
              <w:rPr>
                <w:b/>
                <w:bCs/>
                <w:color w:val="000000"/>
                <w:sz w:val="18"/>
                <w:szCs w:val="18"/>
                <w:lang w:val="en-US" w:eastAsia="en-US"/>
              </w:rPr>
              <w:t>Alliance Experience</w:t>
            </w:r>
          </w:p>
        </w:tc>
        <w:tc>
          <w:tcPr>
            <w:tcW w:w="623" w:type="dxa"/>
            <w:tcBorders>
              <w:top w:val="single" w:sz="4" w:space="0" w:color="auto"/>
              <w:left w:val="nil"/>
              <w:bottom w:val="single" w:sz="8" w:space="0" w:color="auto"/>
              <w:right w:val="nil"/>
            </w:tcBorders>
            <w:shd w:val="clear" w:color="auto" w:fill="auto"/>
            <w:vAlign w:val="center"/>
            <w:hideMark/>
          </w:tcPr>
          <w:p w14:paraId="3E637053" w14:textId="77777777" w:rsidR="00DD62DA" w:rsidRPr="00594F2B" w:rsidRDefault="00DD62DA" w:rsidP="00DD62DA">
            <w:pPr>
              <w:spacing w:line="480" w:lineRule="auto"/>
              <w:jc w:val="center"/>
              <w:rPr>
                <w:b/>
                <w:bCs/>
                <w:color w:val="000000"/>
                <w:sz w:val="18"/>
                <w:szCs w:val="18"/>
                <w:lang w:val="en-US" w:eastAsia="en-US"/>
              </w:rPr>
            </w:pPr>
            <w:r w:rsidRPr="00594F2B">
              <w:rPr>
                <w:b/>
                <w:bCs/>
                <w:color w:val="000000"/>
                <w:sz w:val="18"/>
                <w:szCs w:val="18"/>
                <w:lang w:val="en-US" w:eastAsia="en-US"/>
              </w:rPr>
              <w:t>Slack</w:t>
            </w:r>
          </w:p>
        </w:tc>
        <w:tc>
          <w:tcPr>
            <w:tcW w:w="1078" w:type="dxa"/>
            <w:gridSpan w:val="2"/>
            <w:tcBorders>
              <w:top w:val="single" w:sz="4" w:space="0" w:color="auto"/>
              <w:left w:val="nil"/>
              <w:bottom w:val="single" w:sz="8" w:space="0" w:color="auto"/>
              <w:right w:val="nil"/>
            </w:tcBorders>
            <w:vAlign w:val="center"/>
          </w:tcPr>
          <w:p w14:paraId="64243345" w14:textId="29B63E8B" w:rsidR="00DD62DA" w:rsidRPr="00594F2B" w:rsidRDefault="00DD62DA" w:rsidP="00DD62DA">
            <w:pPr>
              <w:spacing w:line="480" w:lineRule="auto"/>
              <w:jc w:val="center"/>
              <w:rPr>
                <w:b/>
                <w:bCs/>
                <w:color w:val="000000"/>
                <w:sz w:val="18"/>
                <w:szCs w:val="18"/>
                <w:lang w:val="en-US" w:eastAsia="en-US"/>
              </w:rPr>
            </w:pPr>
            <w:r w:rsidRPr="00594F2B">
              <w:rPr>
                <w:b/>
                <w:bCs/>
                <w:color w:val="000000"/>
                <w:sz w:val="18"/>
                <w:szCs w:val="18"/>
                <w:lang w:val="en-US" w:eastAsia="en-US"/>
              </w:rPr>
              <w:t>Stage</w:t>
            </w:r>
          </w:p>
        </w:tc>
        <w:tc>
          <w:tcPr>
            <w:tcW w:w="851" w:type="dxa"/>
            <w:tcBorders>
              <w:top w:val="single" w:sz="4" w:space="0" w:color="auto"/>
              <w:left w:val="nil"/>
              <w:bottom w:val="single" w:sz="8" w:space="0" w:color="auto"/>
              <w:right w:val="nil"/>
            </w:tcBorders>
          </w:tcPr>
          <w:p w14:paraId="6CC907D0" w14:textId="03000567" w:rsidR="00DD62DA" w:rsidRPr="00594F2B" w:rsidRDefault="00DD62DA" w:rsidP="00DD62DA">
            <w:pPr>
              <w:spacing w:line="480" w:lineRule="auto"/>
              <w:jc w:val="center"/>
              <w:rPr>
                <w:b/>
                <w:bCs/>
                <w:color w:val="000000"/>
                <w:sz w:val="18"/>
                <w:szCs w:val="18"/>
                <w:lang w:val="en-US" w:eastAsia="en-US"/>
              </w:rPr>
            </w:pPr>
            <w:r>
              <w:rPr>
                <w:b/>
                <w:bCs/>
                <w:color w:val="000000"/>
                <w:sz w:val="18"/>
                <w:szCs w:val="18"/>
                <w:lang w:val="en-US" w:eastAsia="en-US"/>
              </w:rPr>
              <w:t>Equity St</w:t>
            </w:r>
          </w:p>
        </w:tc>
        <w:tc>
          <w:tcPr>
            <w:tcW w:w="876" w:type="dxa"/>
            <w:tcBorders>
              <w:top w:val="single" w:sz="4" w:space="0" w:color="auto"/>
              <w:left w:val="nil"/>
              <w:bottom w:val="single" w:sz="8" w:space="0" w:color="auto"/>
              <w:right w:val="nil"/>
            </w:tcBorders>
            <w:shd w:val="clear" w:color="auto" w:fill="auto"/>
            <w:vAlign w:val="center"/>
            <w:hideMark/>
          </w:tcPr>
          <w:p w14:paraId="2C347D57" w14:textId="1DCB9D7D" w:rsidR="00DD62DA" w:rsidRPr="00594F2B" w:rsidRDefault="00DD62DA" w:rsidP="00DD62DA">
            <w:pPr>
              <w:spacing w:line="480" w:lineRule="auto"/>
              <w:jc w:val="center"/>
              <w:rPr>
                <w:b/>
                <w:bCs/>
                <w:i/>
                <w:iCs/>
                <w:color w:val="000000"/>
                <w:sz w:val="18"/>
                <w:szCs w:val="18"/>
                <w:lang w:val="en-US" w:eastAsia="en-US"/>
              </w:rPr>
            </w:pPr>
            <w:r>
              <w:rPr>
                <w:b/>
                <w:bCs/>
                <w:i/>
                <w:iCs/>
                <w:color w:val="000000"/>
                <w:sz w:val="18"/>
                <w:szCs w:val="18"/>
                <w:lang w:val="en-US" w:eastAsia="en-US"/>
              </w:rPr>
              <w:t>Fin.</w:t>
            </w:r>
            <w:r w:rsidRPr="00594F2B">
              <w:rPr>
                <w:b/>
                <w:bCs/>
                <w:i/>
                <w:iCs/>
                <w:color w:val="000000"/>
                <w:sz w:val="18"/>
                <w:szCs w:val="18"/>
                <w:lang w:val="en-US" w:eastAsia="en-US"/>
              </w:rPr>
              <w:t xml:space="preserve"> Capital</w:t>
            </w:r>
          </w:p>
        </w:tc>
      </w:tr>
      <w:tr w:rsidR="00DD62DA" w:rsidRPr="00594F2B" w14:paraId="44C792AE" w14:textId="77777777" w:rsidTr="00DD62DA">
        <w:trPr>
          <w:trHeight w:val="301"/>
        </w:trPr>
        <w:tc>
          <w:tcPr>
            <w:tcW w:w="1080" w:type="dxa"/>
            <w:tcBorders>
              <w:top w:val="nil"/>
              <w:left w:val="nil"/>
              <w:bottom w:val="nil"/>
              <w:right w:val="nil"/>
            </w:tcBorders>
            <w:shd w:val="clear" w:color="auto" w:fill="auto"/>
            <w:vAlign w:val="center"/>
            <w:hideMark/>
          </w:tcPr>
          <w:p w14:paraId="021895B7" w14:textId="77777777" w:rsidR="00DD62DA" w:rsidRPr="00594F2B" w:rsidRDefault="00DD62DA" w:rsidP="00DD62DA">
            <w:pPr>
              <w:jc w:val="center"/>
              <w:rPr>
                <w:b/>
                <w:bCs/>
                <w:color w:val="000000"/>
                <w:sz w:val="18"/>
                <w:szCs w:val="18"/>
                <w:lang w:val="en-US" w:eastAsia="en-US"/>
              </w:rPr>
            </w:pPr>
            <w:r w:rsidRPr="00594F2B">
              <w:rPr>
                <w:b/>
                <w:bCs/>
                <w:color w:val="000000"/>
                <w:sz w:val="18"/>
                <w:szCs w:val="18"/>
                <w:lang w:val="en-US" w:eastAsia="en-US"/>
              </w:rPr>
              <w:t>Depth</w:t>
            </w:r>
          </w:p>
        </w:tc>
        <w:tc>
          <w:tcPr>
            <w:tcW w:w="666" w:type="dxa"/>
            <w:tcBorders>
              <w:top w:val="nil"/>
              <w:left w:val="nil"/>
              <w:bottom w:val="nil"/>
              <w:right w:val="nil"/>
            </w:tcBorders>
            <w:shd w:val="clear" w:color="auto" w:fill="auto"/>
            <w:noWrap/>
            <w:vAlign w:val="center"/>
            <w:hideMark/>
          </w:tcPr>
          <w:p w14:paraId="04342C48"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0.008</w:t>
            </w:r>
          </w:p>
        </w:tc>
        <w:tc>
          <w:tcPr>
            <w:tcW w:w="1134" w:type="dxa"/>
            <w:tcBorders>
              <w:top w:val="nil"/>
              <w:left w:val="nil"/>
              <w:bottom w:val="nil"/>
              <w:right w:val="nil"/>
            </w:tcBorders>
            <w:shd w:val="clear" w:color="auto" w:fill="auto"/>
            <w:noWrap/>
            <w:vAlign w:val="center"/>
            <w:hideMark/>
          </w:tcPr>
          <w:p w14:paraId="60936C5F"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0.123</w:t>
            </w:r>
          </w:p>
        </w:tc>
        <w:tc>
          <w:tcPr>
            <w:tcW w:w="860" w:type="dxa"/>
            <w:tcBorders>
              <w:top w:val="nil"/>
              <w:left w:val="nil"/>
              <w:bottom w:val="nil"/>
              <w:right w:val="nil"/>
            </w:tcBorders>
            <w:shd w:val="clear" w:color="auto" w:fill="auto"/>
            <w:vAlign w:val="center"/>
            <w:hideMark/>
          </w:tcPr>
          <w:p w14:paraId="12B15B69"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1</w:t>
            </w:r>
          </w:p>
        </w:tc>
        <w:tc>
          <w:tcPr>
            <w:tcW w:w="846" w:type="dxa"/>
            <w:tcBorders>
              <w:top w:val="nil"/>
              <w:left w:val="nil"/>
              <w:bottom w:val="nil"/>
              <w:right w:val="nil"/>
            </w:tcBorders>
            <w:shd w:val="clear" w:color="auto" w:fill="auto"/>
            <w:noWrap/>
            <w:vAlign w:val="center"/>
            <w:hideMark/>
          </w:tcPr>
          <w:p w14:paraId="390C8CB5" w14:textId="77777777" w:rsidR="00DD62DA" w:rsidRPr="00594F2B" w:rsidRDefault="00DD62DA" w:rsidP="00DD62DA">
            <w:pPr>
              <w:spacing w:line="480" w:lineRule="auto"/>
              <w:jc w:val="center"/>
              <w:rPr>
                <w:color w:val="000000"/>
                <w:sz w:val="18"/>
                <w:szCs w:val="18"/>
                <w:lang w:val="en-US" w:eastAsia="en-US"/>
              </w:rPr>
            </w:pPr>
          </w:p>
        </w:tc>
        <w:tc>
          <w:tcPr>
            <w:tcW w:w="767" w:type="dxa"/>
            <w:tcBorders>
              <w:top w:val="nil"/>
              <w:left w:val="nil"/>
              <w:bottom w:val="nil"/>
              <w:right w:val="nil"/>
            </w:tcBorders>
            <w:shd w:val="clear" w:color="auto" w:fill="auto"/>
            <w:vAlign w:val="center"/>
            <w:hideMark/>
          </w:tcPr>
          <w:p w14:paraId="317ED31F" w14:textId="77777777" w:rsidR="00DD62DA" w:rsidRPr="00594F2B" w:rsidRDefault="00DD62DA" w:rsidP="00DD62DA">
            <w:pPr>
              <w:spacing w:line="480" w:lineRule="auto"/>
              <w:jc w:val="center"/>
              <w:rPr>
                <w:sz w:val="20"/>
                <w:lang w:val="en-US" w:eastAsia="en-US"/>
              </w:rPr>
            </w:pPr>
          </w:p>
        </w:tc>
        <w:tc>
          <w:tcPr>
            <w:tcW w:w="1134" w:type="dxa"/>
            <w:gridSpan w:val="2"/>
            <w:tcBorders>
              <w:top w:val="nil"/>
              <w:left w:val="nil"/>
              <w:bottom w:val="nil"/>
              <w:right w:val="nil"/>
            </w:tcBorders>
            <w:shd w:val="clear" w:color="auto" w:fill="auto"/>
            <w:noWrap/>
            <w:vAlign w:val="center"/>
            <w:hideMark/>
          </w:tcPr>
          <w:p w14:paraId="69761E28" w14:textId="77777777" w:rsidR="00DD62DA" w:rsidRPr="00594F2B" w:rsidRDefault="00DD62DA" w:rsidP="00DD62DA">
            <w:pPr>
              <w:spacing w:line="480" w:lineRule="auto"/>
              <w:jc w:val="center"/>
              <w:rPr>
                <w:sz w:val="20"/>
                <w:lang w:val="en-US" w:eastAsia="en-US"/>
              </w:rPr>
            </w:pPr>
          </w:p>
        </w:tc>
        <w:tc>
          <w:tcPr>
            <w:tcW w:w="623" w:type="dxa"/>
            <w:tcBorders>
              <w:top w:val="nil"/>
              <w:left w:val="nil"/>
              <w:bottom w:val="nil"/>
              <w:right w:val="nil"/>
            </w:tcBorders>
            <w:shd w:val="clear" w:color="auto" w:fill="auto"/>
            <w:vAlign w:val="center"/>
            <w:hideMark/>
          </w:tcPr>
          <w:p w14:paraId="736FD2D3" w14:textId="77777777" w:rsidR="00DD62DA" w:rsidRPr="00594F2B" w:rsidRDefault="00DD62DA" w:rsidP="00DD62DA">
            <w:pPr>
              <w:spacing w:line="480" w:lineRule="auto"/>
              <w:jc w:val="center"/>
              <w:rPr>
                <w:sz w:val="20"/>
                <w:lang w:val="en-US" w:eastAsia="en-US"/>
              </w:rPr>
            </w:pPr>
          </w:p>
        </w:tc>
        <w:tc>
          <w:tcPr>
            <w:tcW w:w="1078" w:type="dxa"/>
            <w:gridSpan w:val="2"/>
            <w:tcBorders>
              <w:top w:val="nil"/>
              <w:left w:val="nil"/>
              <w:bottom w:val="nil"/>
              <w:right w:val="nil"/>
            </w:tcBorders>
            <w:vAlign w:val="center"/>
          </w:tcPr>
          <w:p w14:paraId="4B928829" w14:textId="77777777" w:rsidR="00DD62DA" w:rsidRPr="00594F2B" w:rsidRDefault="00DD62DA" w:rsidP="00DD62DA">
            <w:pPr>
              <w:spacing w:line="480" w:lineRule="auto"/>
              <w:jc w:val="center"/>
              <w:rPr>
                <w:sz w:val="20"/>
                <w:lang w:val="en-US" w:eastAsia="en-US"/>
              </w:rPr>
            </w:pPr>
          </w:p>
        </w:tc>
        <w:tc>
          <w:tcPr>
            <w:tcW w:w="851" w:type="dxa"/>
            <w:tcBorders>
              <w:top w:val="nil"/>
              <w:left w:val="nil"/>
              <w:bottom w:val="nil"/>
              <w:right w:val="nil"/>
            </w:tcBorders>
          </w:tcPr>
          <w:p w14:paraId="1271AA26" w14:textId="5BCFBD00" w:rsidR="00DD62DA" w:rsidRPr="00594F2B" w:rsidRDefault="00DD62DA" w:rsidP="00DD62DA">
            <w:pPr>
              <w:spacing w:line="480" w:lineRule="auto"/>
              <w:jc w:val="center"/>
              <w:rPr>
                <w:sz w:val="20"/>
                <w:lang w:val="en-US" w:eastAsia="en-US"/>
              </w:rPr>
            </w:pPr>
          </w:p>
        </w:tc>
        <w:tc>
          <w:tcPr>
            <w:tcW w:w="876" w:type="dxa"/>
            <w:tcBorders>
              <w:top w:val="nil"/>
              <w:left w:val="nil"/>
              <w:bottom w:val="nil"/>
              <w:right w:val="nil"/>
            </w:tcBorders>
            <w:shd w:val="clear" w:color="auto" w:fill="auto"/>
            <w:vAlign w:val="center"/>
            <w:hideMark/>
          </w:tcPr>
          <w:p w14:paraId="751514B0" w14:textId="77777777" w:rsidR="00DD62DA" w:rsidRPr="00594F2B" w:rsidRDefault="00DD62DA" w:rsidP="00DD62DA">
            <w:pPr>
              <w:spacing w:line="480" w:lineRule="auto"/>
              <w:jc w:val="center"/>
              <w:rPr>
                <w:sz w:val="20"/>
                <w:lang w:val="en-US" w:eastAsia="en-US"/>
              </w:rPr>
            </w:pPr>
          </w:p>
        </w:tc>
      </w:tr>
      <w:tr w:rsidR="00DD62DA" w:rsidRPr="00594F2B" w14:paraId="090A4784" w14:textId="77777777" w:rsidTr="00DD62DA">
        <w:trPr>
          <w:trHeight w:val="301"/>
        </w:trPr>
        <w:tc>
          <w:tcPr>
            <w:tcW w:w="1080" w:type="dxa"/>
            <w:tcBorders>
              <w:top w:val="nil"/>
              <w:left w:val="nil"/>
              <w:bottom w:val="nil"/>
              <w:right w:val="nil"/>
            </w:tcBorders>
            <w:shd w:val="clear" w:color="auto" w:fill="auto"/>
            <w:vAlign w:val="center"/>
            <w:hideMark/>
          </w:tcPr>
          <w:p w14:paraId="37530909" w14:textId="77777777" w:rsidR="00DD62DA" w:rsidRPr="00594F2B" w:rsidRDefault="00DD62DA" w:rsidP="00DD62DA">
            <w:pPr>
              <w:jc w:val="center"/>
              <w:rPr>
                <w:b/>
                <w:bCs/>
                <w:color w:val="000000"/>
                <w:sz w:val="20"/>
                <w:lang w:val="en-US" w:eastAsia="en-US"/>
              </w:rPr>
            </w:pPr>
            <w:r w:rsidRPr="00594F2B">
              <w:rPr>
                <w:b/>
                <w:bCs/>
                <w:color w:val="000000"/>
                <w:sz w:val="20"/>
                <w:lang w:val="en-US" w:eastAsia="en-US"/>
              </w:rPr>
              <w:t>Breadth</w:t>
            </w:r>
          </w:p>
        </w:tc>
        <w:tc>
          <w:tcPr>
            <w:tcW w:w="666" w:type="dxa"/>
            <w:tcBorders>
              <w:top w:val="nil"/>
              <w:left w:val="nil"/>
              <w:bottom w:val="nil"/>
              <w:right w:val="nil"/>
            </w:tcBorders>
            <w:shd w:val="clear" w:color="auto" w:fill="auto"/>
            <w:vAlign w:val="bottom"/>
            <w:hideMark/>
          </w:tcPr>
          <w:p w14:paraId="078E605C" w14:textId="77777777" w:rsidR="00DD62DA" w:rsidRPr="00594F2B" w:rsidRDefault="00DD62DA" w:rsidP="00DD62DA">
            <w:pPr>
              <w:spacing w:line="480" w:lineRule="auto"/>
              <w:jc w:val="center"/>
              <w:rPr>
                <w:color w:val="000000"/>
                <w:sz w:val="20"/>
                <w:lang w:val="en-US" w:eastAsia="en-US"/>
              </w:rPr>
            </w:pPr>
            <w:r w:rsidRPr="00594F2B">
              <w:rPr>
                <w:color w:val="000000"/>
                <w:sz w:val="20"/>
                <w:lang w:val="en-US" w:eastAsia="en-US"/>
              </w:rPr>
              <w:t>9.357</w:t>
            </w:r>
          </w:p>
        </w:tc>
        <w:tc>
          <w:tcPr>
            <w:tcW w:w="1134" w:type="dxa"/>
            <w:tcBorders>
              <w:top w:val="nil"/>
              <w:left w:val="nil"/>
              <w:bottom w:val="nil"/>
              <w:right w:val="nil"/>
            </w:tcBorders>
            <w:shd w:val="clear" w:color="auto" w:fill="auto"/>
            <w:vAlign w:val="bottom"/>
            <w:hideMark/>
          </w:tcPr>
          <w:p w14:paraId="7C1364D6" w14:textId="77777777" w:rsidR="00DD62DA" w:rsidRPr="00594F2B" w:rsidRDefault="00DD62DA" w:rsidP="00DD62DA">
            <w:pPr>
              <w:spacing w:line="480" w:lineRule="auto"/>
              <w:jc w:val="center"/>
              <w:rPr>
                <w:color w:val="000000"/>
                <w:sz w:val="20"/>
                <w:lang w:val="en-US" w:eastAsia="en-US"/>
              </w:rPr>
            </w:pPr>
            <w:r w:rsidRPr="00594F2B">
              <w:rPr>
                <w:color w:val="000000"/>
                <w:sz w:val="20"/>
                <w:lang w:val="en-US" w:eastAsia="en-US"/>
              </w:rPr>
              <w:t>32.537</w:t>
            </w:r>
          </w:p>
        </w:tc>
        <w:tc>
          <w:tcPr>
            <w:tcW w:w="860" w:type="dxa"/>
            <w:tcBorders>
              <w:top w:val="nil"/>
              <w:left w:val="nil"/>
              <w:bottom w:val="nil"/>
              <w:right w:val="nil"/>
            </w:tcBorders>
            <w:shd w:val="clear" w:color="auto" w:fill="auto"/>
            <w:vAlign w:val="bottom"/>
            <w:hideMark/>
          </w:tcPr>
          <w:p w14:paraId="0F106785" w14:textId="77777777" w:rsidR="00DD62DA" w:rsidRPr="00594F2B" w:rsidRDefault="00DD62DA" w:rsidP="00DD62DA">
            <w:pPr>
              <w:spacing w:line="480" w:lineRule="auto"/>
              <w:jc w:val="center"/>
              <w:rPr>
                <w:color w:val="000000"/>
                <w:sz w:val="20"/>
                <w:lang w:val="en-US" w:eastAsia="en-US"/>
              </w:rPr>
            </w:pPr>
            <w:r w:rsidRPr="00594F2B">
              <w:rPr>
                <w:color w:val="000000"/>
                <w:sz w:val="20"/>
                <w:lang w:val="en-US" w:eastAsia="en-US"/>
              </w:rPr>
              <w:t>-.559**</w:t>
            </w:r>
          </w:p>
        </w:tc>
        <w:tc>
          <w:tcPr>
            <w:tcW w:w="846" w:type="dxa"/>
            <w:tcBorders>
              <w:top w:val="nil"/>
              <w:left w:val="nil"/>
              <w:bottom w:val="nil"/>
              <w:right w:val="nil"/>
            </w:tcBorders>
            <w:shd w:val="clear" w:color="auto" w:fill="auto"/>
            <w:noWrap/>
            <w:vAlign w:val="bottom"/>
            <w:hideMark/>
          </w:tcPr>
          <w:p w14:paraId="036023E0" w14:textId="77777777" w:rsidR="00DD62DA" w:rsidRPr="00594F2B" w:rsidRDefault="00DD62DA" w:rsidP="00DD62DA">
            <w:pPr>
              <w:spacing w:line="480" w:lineRule="auto"/>
              <w:jc w:val="center"/>
              <w:rPr>
                <w:color w:val="000000"/>
                <w:sz w:val="20"/>
                <w:lang w:val="en-US" w:eastAsia="en-US"/>
              </w:rPr>
            </w:pPr>
            <w:r w:rsidRPr="00594F2B">
              <w:rPr>
                <w:color w:val="000000"/>
                <w:sz w:val="20"/>
                <w:lang w:val="en-US" w:eastAsia="en-US"/>
              </w:rPr>
              <w:t>1</w:t>
            </w:r>
          </w:p>
        </w:tc>
        <w:tc>
          <w:tcPr>
            <w:tcW w:w="767" w:type="dxa"/>
            <w:tcBorders>
              <w:top w:val="nil"/>
              <w:left w:val="nil"/>
              <w:bottom w:val="nil"/>
              <w:right w:val="nil"/>
            </w:tcBorders>
            <w:shd w:val="clear" w:color="auto" w:fill="auto"/>
            <w:vAlign w:val="bottom"/>
            <w:hideMark/>
          </w:tcPr>
          <w:p w14:paraId="1A4CF197" w14:textId="77777777" w:rsidR="00DD62DA" w:rsidRPr="00594F2B" w:rsidRDefault="00DD62DA" w:rsidP="00DD62DA">
            <w:pPr>
              <w:spacing w:line="480" w:lineRule="auto"/>
              <w:jc w:val="center"/>
              <w:rPr>
                <w:color w:val="000000"/>
                <w:sz w:val="20"/>
                <w:lang w:val="en-US" w:eastAsia="en-US"/>
              </w:rPr>
            </w:pPr>
          </w:p>
        </w:tc>
        <w:tc>
          <w:tcPr>
            <w:tcW w:w="1134" w:type="dxa"/>
            <w:gridSpan w:val="2"/>
            <w:tcBorders>
              <w:top w:val="nil"/>
              <w:left w:val="nil"/>
              <w:bottom w:val="nil"/>
              <w:right w:val="nil"/>
            </w:tcBorders>
            <w:shd w:val="clear" w:color="auto" w:fill="auto"/>
            <w:vAlign w:val="bottom"/>
            <w:hideMark/>
          </w:tcPr>
          <w:p w14:paraId="14DCDD96" w14:textId="77777777" w:rsidR="00DD62DA" w:rsidRPr="00594F2B" w:rsidRDefault="00DD62DA" w:rsidP="00DD62DA">
            <w:pPr>
              <w:spacing w:line="480" w:lineRule="auto"/>
              <w:jc w:val="center"/>
              <w:rPr>
                <w:sz w:val="20"/>
                <w:lang w:val="en-US" w:eastAsia="en-US"/>
              </w:rPr>
            </w:pPr>
          </w:p>
        </w:tc>
        <w:tc>
          <w:tcPr>
            <w:tcW w:w="623" w:type="dxa"/>
            <w:tcBorders>
              <w:top w:val="nil"/>
              <w:left w:val="nil"/>
              <w:bottom w:val="nil"/>
              <w:right w:val="nil"/>
            </w:tcBorders>
            <w:shd w:val="clear" w:color="auto" w:fill="auto"/>
            <w:vAlign w:val="bottom"/>
            <w:hideMark/>
          </w:tcPr>
          <w:p w14:paraId="782D9204" w14:textId="77777777" w:rsidR="00DD62DA" w:rsidRPr="00594F2B" w:rsidRDefault="00DD62DA" w:rsidP="00DD62DA">
            <w:pPr>
              <w:spacing w:line="480" w:lineRule="auto"/>
              <w:jc w:val="center"/>
              <w:rPr>
                <w:sz w:val="20"/>
                <w:lang w:val="en-US" w:eastAsia="en-US"/>
              </w:rPr>
            </w:pPr>
          </w:p>
        </w:tc>
        <w:tc>
          <w:tcPr>
            <w:tcW w:w="1078" w:type="dxa"/>
            <w:gridSpan w:val="2"/>
            <w:tcBorders>
              <w:top w:val="nil"/>
              <w:left w:val="nil"/>
              <w:bottom w:val="nil"/>
              <w:right w:val="nil"/>
            </w:tcBorders>
            <w:vAlign w:val="bottom"/>
          </w:tcPr>
          <w:p w14:paraId="3D6660EC" w14:textId="77777777" w:rsidR="00DD62DA" w:rsidRPr="00594F2B" w:rsidRDefault="00DD62DA" w:rsidP="00DD62DA">
            <w:pPr>
              <w:spacing w:line="480" w:lineRule="auto"/>
              <w:jc w:val="center"/>
              <w:rPr>
                <w:sz w:val="20"/>
                <w:lang w:val="en-US" w:eastAsia="en-US"/>
              </w:rPr>
            </w:pPr>
          </w:p>
        </w:tc>
        <w:tc>
          <w:tcPr>
            <w:tcW w:w="851" w:type="dxa"/>
            <w:tcBorders>
              <w:top w:val="nil"/>
              <w:left w:val="nil"/>
              <w:bottom w:val="nil"/>
              <w:right w:val="nil"/>
            </w:tcBorders>
          </w:tcPr>
          <w:p w14:paraId="662056DD" w14:textId="4F7E5A98" w:rsidR="00DD62DA" w:rsidRPr="00594F2B" w:rsidRDefault="00DD62DA" w:rsidP="00DD62DA">
            <w:pPr>
              <w:spacing w:line="480" w:lineRule="auto"/>
              <w:jc w:val="center"/>
              <w:rPr>
                <w:sz w:val="20"/>
                <w:lang w:val="en-US" w:eastAsia="en-US"/>
              </w:rPr>
            </w:pPr>
          </w:p>
        </w:tc>
        <w:tc>
          <w:tcPr>
            <w:tcW w:w="876" w:type="dxa"/>
            <w:tcBorders>
              <w:top w:val="nil"/>
              <w:left w:val="nil"/>
              <w:bottom w:val="nil"/>
              <w:right w:val="nil"/>
            </w:tcBorders>
            <w:shd w:val="clear" w:color="auto" w:fill="auto"/>
            <w:vAlign w:val="center"/>
            <w:hideMark/>
          </w:tcPr>
          <w:p w14:paraId="5EAF6032" w14:textId="77777777" w:rsidR="00DD62DA" w:rsidRPr="00594F2B" w:rsidRDefault="00DD62DA" w:rsidP="00DD62DA">
            <w:pPr>
              <w:spacing w:line="480" w:lineRule="auto"/>
              <w:jc w:val="center"/>
              <w:rPr>
                <w:sz w:val="20"/>
                <w:lang w:val="en-US" w:eastAsia="en-US"/>
              </w:rPr>
            </w:pPr>
          </w:p>
        </w:tc>
      </w:tr>
      <w:tr w:rsidR="00DD62DA" w:rsidRPr="00594F2B" w14:paraId="25871C18" w14:textId="77777777" w:rsidTr="00DD62DA">
        <w:trPr>
          <w:trHeight w:val="301"/>
        </w:trPr>
        <w:tc>
          <w:tcPr>
            <w:tcW w:w="1080" w:type="dxa"/>
            <w:tcBorders>
              <w:top w:val="nil"/>
              <w:left w:val="nil"/>
              <w:bottom w:val="nil"/>
              <w:right w:val="nil"/>
            </w:tcBorders>
            <w:shd w:val="clear" w:color="auto" w:fill="auto"/>
            <w:vAlign w:val="center"/>
            <w:hideMark/>
          </w:tcPr>
          <w:p w14:paraId="6A665543" w14:textId="77777777" w:rsidR="00DD62DA" w:rsidRPr="00594F2B" w:rsidRDefault="00DD62DA" w:rsidP="00DD62DA">
            <w:pPr>
              <w:jc w:val="center"/>
              <w:rPr>
                <w:b/>
                <w:bCs/>
                <w:color w:val="000000"/>
                <w:sz w:val="18"/>
                <w:szCs w:val="18"/>
                <w:lang w:val="en-US" w:eastAsia="en-US"/>
              </w:rPr>
            </w:pPr>
            <w:r w:rsidRPr="00594F2B">
              <w:rPr>
                <w:b/>
                <w:bCs/>
                <w:color w:val="000000"/>
                <w:sz w:val="18"/>
                <w:szCs w:val="18"/>
                <w:lang w:val="en-US" w:eastAsia="en-US"/>
              </w:rPr>
              <w:t>Firm Size</w:t>
            </w:r>
          </w:p>
        </w:tc>
        <w:tc>
          <w:tcPr>
            <w:tcW w:w="666" w:type="dxa"/>
            <w:tcBorders>
              <w:top w:val="nil"/>
              <w:left w:val="nil"/>
              <w:bottom w:val="nil"/>
              <w:right w:val="nil"/>
            </w:tcBorders>
            <w:shd w:val="clear" w:color="auto" w:fill="auto"/>
            <w:noWrap/>
            <w:vAlign w:val="center"/>
            <w:hideMark/>
          </w:tcPr>
          <w:p w14:paraId="72E1E206"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6.065</w:t>
            </w:r>
          </w:p>
        </w:tc>
        <w:tc>
          <w:tcPr>
            <w:tcW w:w="1134" w:type="dxa"/>
            <w:tcBorders>
              <w:top w:val="nil"/>
              <w:left w:val="nil"/>
              <w:bottom w:val="nil"/>
              <w:right w:val="nil"/>
            </w:tcBorders>
            <w:shd w:val="clear" w:color="auto" w:fill="auto"/>
            <w:noWrap/>
            <w:vAlign w:val="center"/>
            <w:hideMark/>
          </w:tcPr>
          <w:p w14:paraId="5EA8F597"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2.678</w:t>
            </w:r>
          </w:p>
        </w:tc>
        <w:tc>
          <w:tcPr>
            <w:tcW w:w="860" w:type="dxa"/>
            <w:tcBorders>
              <w:top w:val="nil"/>
              <w:left w:val="nil"/>
              <w:bottom w:val="nil"/>
              <w:right w:val="nil"/>
            </w:tcBorders>
            <w:shd w:val="clear" w:color="auto" w:fill="auto"/>
            <w:noWrap/>
            <w:vAlign w:val="center"/>
            <w:hideMark/>
          </w:tcPr>
          <w:p w14:paraId="12E293F9"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-.427**</w:t>
            </w:r>
          </w:p>
        </w:tc>
        <w:tc>
          <w:tcPr>
            <w:tcW w:w="846" w:type="dxa"/>
            <w:tcBorders>
              <w:top w:val="nil"/>
              <w:left w:val="nil"/>
              <w:bottom w:val="nil"/>
              <w:right w:val="nil"/>
            </w:tcBorders>
            <w:shd w:val="clear" w:color="auto" w:fill="auto"/>
            <w:noWrap/>
            <w:vAlign w:val="center"/>
            <w:hideMark/>
          </w:tcPr>
          <w:p w14:paraId="19538370"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.699**</w:t>
            </w:r>
          </w:p>
        </w:tc>
        <w:tc>
          <w:tcPr>
            <w:tcW w:w="767" w:type="dxa"/>
            <w:tcBorders>
              <w:top w:val="nil"/>
              <w:left w:val="nil"/>
              <w:bottom w:val="nil"/>
              <w:right w:val="nil"/>
            </w:tcBorders>
            <w:shd w:val="clear" w:color="auto" w:fill="auto"/>
            <w:noWrap/>
            <w:vAlign w:val="center"/>
            <w:hideMark/>
          </w:tcPr>
          <w:p w14:paraId="33E61A35"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1</w:t>
            </w:r>
          </w:p>
        </w:tc>
        <w:tc>
          <w:tcPr>
            <w:tcW w:w="1134" w:type="dxa"/>
            <w:gridSpan w:val="2"/>
            <w:tcBorders>
              <w:top w:val="nil"/>
              <w:left w:val="nil"/>
              <w:bottom w:val="nil"/>
              <w:right w:val="nil"/>
            </w:tcBorders>
            <w:shd w:val="clear" w:color="auto" w:fill="auto"/>
            <w:noWrap/>
            <w:vAlign w:val="center"/>
            <w:hideMark/>
          </w:tcPr>
          <w:p w14:paraId="1D8837C7" w14:textId="77777777" w:rsidR="00DD62DA" w:rsidRPr="00594F2B" w:rsidRDefault="00DD62DA" w:rsidP="00DD62DA">
            <w:pPr>
              <w:spacing w:line="480" w:lineRule="auto"/>
              <w:jc w:val="center"/>
              <w:rPr>
                <w:color w:val="000000"/>
                <w:sz w:val="18"/>
                <w:szCs w:val="18"/>
                <w:lang w:val="en-US" w:eastAsia="en-US"/>
              </w:rPr>
            </w:pPr>
          </w:p>
        </w:tc>
        <w:tc>
          <w:tcPr>
            <w:tcW w:w="623" w:type="dxa"/>
            <w:tcBorders>
              <w:top w:val="nil"/>
              <w:left w:val="nil"/>
              <w:bottom w:val="nil"/>
              <w:right w:val="nil"/>
            </w:tcBorders>
            <w:shd w:val="clear" w:color="auto" w:fill="auto"/>
            <w:noWrap/>
            <w:vAlign w:val="center"/>
            <w:hideMark/>
          </w:tcPr>
          <w:p w14:paraId="0DD07C93" w14:textId="77777777" w:rsidR="00DD62DA" w:rsidRPr="00594F2B" w:rsidRDefault="00DD62DA" w:rsidP="00DD62DA">
            <w:pPr>
              <w:spacing w:line="480" w:lineRule="auto"/>
              <w:jc w:val="center"/>
              <w:rPr>
                <w:sz w:val="20"/>
                <w:lang w:val="en-US" w:eastAsia="en-US"/>
              </w:rPr>
            </w:pPr>
          </w:p>
        </w:tc>
        <w:tc>
          <w:tcPr>
            <w:tcW w:w="1078" w:type="dxa"/>
            <w:gridSpan w:val="2"/>
            <w:tcBorders>
              <w:top w:val="nil"/>
              <w:left w:val="nil"/>
              <w:bottom w:val="nil"/>
              <w:right w:val="nil"/>
            </w:tcBorders>
            <w:vAlign w:val="center"/>
          </w:tcPr>
          <w:p w14:paraId="0A915C6D" w14:textId="77777777" w:rsidR="00DD62DA" w:rsidRPr="00594F2B" w:rsidRDefault="00DD62DA" w:rsidP="00DD62DA">
            <w:pPr>
              <w:spacing w:line="480" w:lineRule="auto"/>
              <w:jc w:val="center"/>
              <w:rPr>
                <w:sz w:val="20"/>
                <w:lang w:val="en-US" w:eastAsia="en-US"/>
              </w:rPr>
            </w:pPr>
          </w:p>
        </w:tc>
        <w:tc>
          <w:tcPr>
            <w:tcW w:w="851" w:type="dxa"/>
            <w:tcBorders>
              <w:top w:val="nil"/>
              <w:left w:val="nil"/>
              <w:bottom w:val="nil"/>
              <w:right w:val="nil"/>
            </w:tcBorders>
          </w:tcPr>
          <w:p w14:paraId="083C66DE" w14:textId="1BA10033" w:rsidR="00DD62DA" w:rsidRPr="00594F2B" w:rsidRDefault="00DD62DA" w:rsidP="00DD62DA">
            <w:pPr>
              <w:spacing w:line="480" w:lineRule="auto"/>
              <w:jc w:val="center"/>
              <w:rPr>
                <w:sz w:val="20"/>
                <w:lang w:val="en-US" w:eastAsia="en-US"/>
              </w:rPr>
            </w:pPr>
          </w:p>
        </w:tc>
        <w:tc>
          <w:tcPr>
            <w:tcW w:w="876" w:type="dxa"/>
            <w:tcBorders>
              <w:top w:val="nil"/>
              <w:left w:val="nil"/>
              <w:bottom w:val="nil"/>
              <w:right w:val="nil"/>
            </w:tcBorders>
            <w:shd w:val="clear" w:color="auto" w:fill="auto"/>
            <w:vAlign w:val="center"/>
            <w:hideMark/>
          </w:tcPr>
          <w:p w14:paraId="6A2EEEAC" w14:textId="77777777" w:rsidR="00DD62DA" w:rsidRPr="00594F2B" w:rsidRDefault="00DD62DA" w:rsidP="00DD62DA">
            <w:pPr>
              <w:spacing w:line="480" w:lineRule="auto"/>
              <w:jc w:val="center"/>
              <w:rPr>
                <w:sz w:val="20"/>
                <w:lang w:val="en-US" w:eastAsia="en-US"/>
              </w:rPr>
            </w:pPr>
          </w:p>
        </w:tc>
      </w:tr>
      <w:tr w:rsidR="00DD62DA" w:rsidRPr="00594F2B" w14:paraId="52AE68C6" w14:textId="77777777" w:rsidTr="00DD62DA">
        <w:trPr>
          <w:trHeight w:val="301"/>
        </w:trPr>
        <w:tc>
          <w:tcPr>
            <w:tcW w:w="1080" w:type="dxa"/>
            <w:tcBorders>
              <w:top w:val="nil"/>
              <w:left w:val="nil"/>
              <w:bottom w:val="nil"/>
              <w:right w:val="nil"/>
            </w:tcBorders>
            <w:shd w:val="clear" w:color="auto" w:fill="auto"/>
            <w:vAlign w:val="center"/>
            <w:hideMark/>
          </w:tcPr>
          <w:p w14:paraId="4B4D95DE" w14:textId="77777777" w:rsidR="00DD62DA" w:rsidRPr="00594F2B" w:rsidRDefault="00DD62DA" w:rsidP="00DD62DA">
            <w:pPr>
              <w:jc w:val="center"/>
              <w:rPr>
                <w:b/>
                <w:bCs/>
                <w:color w:val="000000"/>
                <w:sz w:val="18"/>
                <w:szCs w:val="18"/>
                <w:lang w:val="en-US" w:eastAsia="en-US"/>
              </w:rPr>
            </w:pPr>
            <w:r w:rsidRPr="00594F2B">
              <w:rPr>
                <w:b/>
                <w:bCs/>
                <w:color w:val="000000"/>
                <w:sz w:val="18"/>
                <w:szCs w:val="18"/>
                <w:lang w:val="en-US" w:eastAsia="en-US"/>
              </w:rPr>
              <w:t>Alliance Experience</w:t>
            </w:r>
          </w:p>
        </w:tc>
        <w:tc>
          <w:tcPr>
            <w:tcW w:w="666" w:type="dxa"/>
            <w:tcBorders>
              <w:top w:val="nil"/>
              <w:left w:val="nil"/>
              <w:bottom w:val="nil"/>
              <w:right w:val="nil"/>
            </w:tcBorders>
            <w:shd w:val="clear" w:color="auto" w:fill="auto"/>
            <w:noWrap/>
            <w:vAlign w:val="center"/>
            <w:hideMark/>
          </w:tcPr>
          <w:p w14:paraId="7A7B349F"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1.933</w:t>
            </w:r>
          </w:p>
        </w:tc>
        <w:tc>
          <w:tcPr>
            <w:tcW w:w="1134" w:type="dxa"/>
            <w:tcBorders>
              <w:top w:val="nil"/>
              <w:left w:val="nil"/>
              <w:bottom w:val="nil"/>
              <w:right w:val="nil"/>
            </w:tcBorders>
            <w:shd w:val="clear" w:color="auto" w:fill="auto"/>
            <w:noWrap/>
            <w:vAlign w:val="center"/>
            <w:hideMark/>
          </w:tcPr>
          <w:p w14:paraId="639EA2D5"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0.979</w:t>
            </w:r>
          </w:p>
        </w:tc>
        <w:tc>
          <w:tcPr>
            <w:tcW w:w="860" w:type="dxa"/>
            <w:tcBorders>
              <w:top w:val="nil"/>
              <w:left w:val="nil"/>
              <w:bottom w:val="nil"/>
              <w:right w:val="nil"/>
            </w:tcBorders>
            <w:shd w:val="clear" w:color="auto" w:fill="auto"/>
            <w:noWrap/>
            <w:vAlign w:val="center"/>
            <w:hideMark/>
          </w:tcPr>
          <w:p w14:paraId="57D9B4F2"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-.169**</w:t>
            </w:r>
          </w:p>
        </w:tc>
        <w:tc>
          <w:tcPr>
            <w:tcW w:w="846" w:type="dxa"/>
            <w:tcBorders>
              <w:top w:val="nil"/>
              <w:left w:val="nil"/>
              <w:bottom w:val="nil"/>
              <w:right w:val="nil"/>
            </w:tcBorders>
            <w:shd w:val="clear" w:color="auto" w:fill="auto"/>
            <w:noWrap/>
            <w:vAlign w:val="center"/>
            <w:hideMark/>
          </w:tcPr>
          <w:p w14:paraId="55FF9383"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.422**</w:t>
            </w:r>
          </w:p>
        </w:tc>
        <w:tc>
          <w:tcPr>
            <w:tcW w:w="767" w:type="dxa"/>
            <w:tcBorders>
              <w:top w:val="nil"/>
              <w:left w:val="nil"/>
              <w:bottom w:val="nil"/>
              <w:right w:val="nil"/>
            </w:tcBorders>
            <w:shd w:val="clear" w:color="auto" w:fill="auto"/>
            <w:noWrap/>
            <w:vAlign w:val="center"/>
            <w:hideMark/>
          </w:tcPr>
          <w:p w14:paraId="48CADC22"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.319**</w:t>
            </w:r>
          </w:p>
        </w:tc>
        <w:tc>
          <w:tcPr>
            <w:tcW w:w="1134" w:type="dxa"/>
            <w:gridSpan w:val="2"/>
            <w:tcBorders>
              <w:top w:val="nil"/>
              <w:left w:val="nil"/>
              <w:bottom w:val="nil"/>
              <w:right w:val="nil"/>
            </w:tcBorders>
            <w:shd w:val="clear" w:color="auto" w:fill="auto"/>
            <w:noWrap/>
            <w:vAlign w:val="center"/>
            <w:hideMark/>
          </w:tcPr>
          <w:p w14:paraId="296BF27F"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1</w:t>
            </w:r>
          </w:p>
        </w:tc>
        <w:tc>
          <w:tcPr>
            <w:tcW w:w="623" w:type="dxa"/>
            <w:tcBorders>
              <w:top w:val="nil"/>
              <w:left w:val="nil"/>
              <w:bottom w:val="nil"/>
              <w:right w:val="nil"/>
            </w:tcBorders>
            <w:shd w:val="clear" w:color="auto" w:fill="auto"/>
            <w:noWrap/>
            <w:vAlign w:val="center"/>
            <w:hideMark/>
          </w:tcPr>
          <w:p w14:paraId="2D42CC6D" w14:textId="77777777" w:rsidR="00DD62DA" w:rsidRPr="00594F2B" w:rsidRDefault="00DD62DA" w:rsidP="00DD62DA">
            <w:pPr>
              <w:spacing w:line="480" w:lineRule="auto"/>
              <w:jc w:val="center"/>
              <w:rPr>
                <w:color w:val="000000"/>
                <w:sz w:val="18"/>
                <w:szCs w:val="18"/>
                <w:lang w:val="en-US" w:eastAsia="en-US"/>
              </w:rPr>
            </w:pPr>
          </w:p>
        </w:tc>
        <w:tc>
          <w:tcPr>
            <w:tcW w:w="1078" w:type="dxa"/>
            <w:gridSpan w:val="2"/>
            <w:tcBorders>
              <w:top w:val="nil"/>
              <w:left w:val="nil"/>
              <w:bottom w:val="nil"/>
              <w:right w:val="nil"/>
            </w:tcBorders>
            <w:vAlign w:val="center"/>
          </w:tcPr>
          <w:p w14:paraId="07E4CA36" w14:textId="77777777" w:rsidR="00DD62DA" w:rsidRPr="00594F2B" w:rsidRDefault="00DD62DA" w:rsidP="00DD62DA">
            <w:pPr>
              <w:spacing w:line="480" w:lineRule="auto"/>
              <w:jc w:val="center"/>
              <w:rPr>
                <w:sz w:val="20"/>
                <w:lang w:val="en-US" w:eastAsia="en-US"/>
              </w:rPr>
            </w:pPr>
          </w:p>
        </w:tc>
        <w:tc>
          <w:tcPr>
            <w:tcW w:w="851" w:type="dxa"/>
            <w:tcBorders>
              <w:top w:val="nil"/>
              <w:left w:val="nil"/>
              <w:bottom w:val="nil"/>
              <w:right w:val="nil"/>
            </w:tcBorders>
          </w:tcPr>
          <w:p w14:paraId="7665E141" w14:textId="05938869" w:rsidR="00DD62DA" w:rsidRPr="00594F2B" w:rsidRDefault="00DD62DA" w:rsidP="00DD62DA">
            <w:pPr>
              <w:spacing w:line="480" w:lineRule="auto"/>
              <w:jc w:val="center"/>
              <w:rPr>
                <w:sz w:val="20"/>
                <w:lang w:val="en-US" w:eastAsia="en-US"/>
              </w:rPr>
            </w:pPr>
          </w:p>
        </w:tc>
        <w:tc>
          <w:tcPr>
            <w:tcW w:w="876" w:type="dxa"/>
            <w:tcBorders>
              <w:top w:val="nil"/>
              <w:left w:val="nil"/>
              <w:bottom w:val="nil"/>
              <w:right w:val="nil"/>
            </w:tcBorders>
            <w:shd w:val="clear" w:color="auto" w:fill="auto"/>
            <w:vAlign w:val="center"/>
            <w:hideMark/>
          </w:tcPr>
          <w:p w14:paraId="570AC181" w14:textId="77777777" w:rsidR="00DD62DA" w:rsidRPr="00594F2B" w:rsidRDefault="00DD62DA" w:rsidP="00DD62DA">
            <w:pPr>
              <w:spacing w:line="480" w:lineRule="auto"/>
              <w:jc w:val="center"/>
              <w:rPr>
                <w:sz w:val="20"/>
                <w:lang w:val="en-US" w:eastAsia="en-US"/>
              </w:rPr>
            </w:pPr>
          </w:p>
        </w:tc>
      </w:tr>
      <w:tr w:rsidR="00DD62DA" w:rsidRPr="00594F2B" w14:paraId="5C022287" w14:textId="77777777" w:rsidTr="00DD62DA">
        <w:trPr>
          <w:trHeight w:val="301"/>
        </w:trPr>
        <w:tc>
          <w:tcPr>
            <w:tcW w:w="1080" w:type="dxa"/>
            <w:tcBorders>
              <w:top w:val="nil"/>
              <w:left w:val="nil"/>
              <w:bottom w:val="nil"/>
              <w:right w:val="nil"/>
            </w:tcBorders>
            <w:shd w:val="clear" w:color="auto" w:fill="auto"/>
            <w:vAlign w:val="center"/>
            <w:hideMark/>
          </w:tcPr>
          <w:p w14:paraId="07F657E3" w14:textId="77777777" w:rsidR="00DD62DA" w:rsidRPr="00594F2B" w:rsidRDefault="00DD62DA" w:rsidP="00DD62DA">
            <w:pPr>
              <w:jc w:val="center"/>
              <w:rPr>
                <w:b/>
                <w:bCs/>
                <w:color w:val="000000"/>
                <w:sz w:val="18"/>
                <w:szCs w:val="18"/>
                <w:lang w:val="en-US" w:eastAsia="en-US"/>
              </w:rPr>
            </w:pPr>
            <w:r w:rsidRPr="00594F2B">
              <w:rPr>
                <w:b/>
                <w:bCs/>
                <w:color w:val="000000"/>
                <w:sz w:val="18"/>
                <w:szCs w:val="18"/>
                <w:lang w:val="en-US" w:eastAsia="en-US"/>
              </w:rPr>
              <w:t>Slack</w:t>
            </w:r>
          </w:p>
        </w:tc>
        <w:tc>
          <w:tcPr>
            <w:tcW w:w="666" w:type="dxa"/>
            <w:tcBorders>
              <w:top w:val="nil"/>
              <w:left w:val="nil"/>
              <w:bottom w:val="nil"/>
              <w:right w:val="nil"/>
            </w:tcBorders>
            <w:shd w:val="clear" w:color="auto" w:fill="auto"/>
            <w:noWrap/>
            <w:vAlign w:val="center"/>
            <w:hideMark/>
          </w:tcPr>
          <w:p w14:paraId="10965EC8"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3.614</w:t>
            </w:r>
          </w:p>
        </w:tc>
        <w:tc>
          <w:tcPr>
            <w:tcW w:w="1134" w:type="dxa"/>
            <w:tcBorders>
              <w:top w:val="nil"/>
              <w:left w:val="nil"/>
              <w:bottom w:val="nil"/>
              <w:right w:val="nil"/>
            </w:tcBorders>
            <w:shd w:val="clear" w:color="auto" w:fill="auto"/>
            <w:noWrap/>
            <w:vAlign w:val="center"/>
            <w:hideMark/>
          </w:tcPr>
          <w:p w14:paraId="73BEE4C9"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1.966</w:t>
            </w:r>
          </w:p>
        </w:tc>
        <w:tc>
          <w:tcPr>
            <w:tcW w:w="860" w:type="dxa"/>
            <w:tcBorders>
              <w:top w:val="nil"/>
              <w:left w:val="nil"/>
              <w:bottom w:val="nil"/>
              <w:right w:val="nil"/>
            </w:tcBorders>
            <w:shd w:val="clear" w:color="auto" w:fill="auto"/>
            <w:noWrap/>
            <w:vAlign w:val="center"/>
            <w:hideMark/>
          </w:tcPr>
          <w:p w14:paraId="7D5BF3D1"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0.045</w:t>
            </w:r>
          </w:p>
        </w:tc>
        <w:tc>
          <w:tcPr>
            <w:tcW w:w="846" w:type="dxa"/>
            <w:tcBorders>
              <w:top w:val="nil"/>
              <w:left w:val="nil"/>
              <w:bottom w:val="nil"/>
              <w:right w:val="nil"/>
            </w:tcBorders>
            <w:shd w:val="clear" w:color="auto" w:fill="auto"/>
            <w:noWrap/>
            <w:vAlign w:val="center"/>
            <w:hideMark/>
          </w:tcPr>
          <w:p w14:paraId="4BA5A26B"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-.230**</w:t>
            </w:r>
          </w:p>
        </w:tc>
        <w:tc>
          <w:tcPr>
            <w:tcW w:w="909" w:type="dxa"/>
            <w:gridSpan w:val="2"/>
            <w:tcBorders>
              <w:top w:val="nil"/>
              <w:left w:val="nil"/>
              <w:bottom w:val="nil"/>
              <w:right w:val="nil"/>
            </w:tcBorders>
            <w:shd w:val="clear" w:color="auto" w:fill="auto"/>
            <w:noWrap/>
            <w:vAlign w:val="center"/>
            <w:hideMark/>
          </w:tcPr>
          <w:p w14:paraId="2C54C8B3"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-.285**</w:t>
            </w:r>
          </w:p>
        </w:tc>
        <w:tc>
          <w:tcPr>
            <w:tcW w:w="992" w:type="dxa"/>
            <w:tcBorders>
              <w:top w:val="nil"/>
              <w:left w:val="nil"/>
              <w:bottom w:val="nil"/>
              <w:right w:val="nil"/>
            </w:tcBorders>
            <w:shd w:val="clear" w:color="auto" w:fill="auto"/>
            <w:noWrap/>
            <w:vAlign w:val="center"/>
            <w:hideMark/>
          </w:tcPr>
          <w:p w14:paraId="4BA44F19"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-.224**</w:t>
            </w:r>
          </w:p>
        </w:tc>
        <w:tc>
          <w:tcPr>
            <w:tcW w:w="623" w:type="dxa"/>
            <w:tcBorders>
              <w:top w:val="nil"/>
              <w:left w:val="nil"/>
              <w:bottom w:val="nil"/>
              <w:right w:val="nil"/>
            </w:tcBorders>
            <w:shd w:val="clear" w:color="auto" w:fill="auto"/>
            <w:noWrap/>
            <w:vAlign w:val="center"/>
            <w:hideMark/>
          </w:tcPr>
          <w:p w14:paraId="797B4446"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1</w:t>
            </w:r>
          </w:p>
        </w:tc>
        <w:tc>
          <w:tcPr>
            <w:tcW w:w="1078" w:type="dxa"/>
            <w:gridSpan w:val="2"/>
            <w:tcBorders>
              <w:top w:val="nil"/>
              <w:left w:val="nil"/>
              <w:bottom w:val="nil"/>
              <w:right w:val="nil"/>
            </w:tcBorders>
            <w:vAlign w:val="center"/>
          </w:tcPr>
          <w:p w14:paraId="5B173149" w14:textId="77777777" w:rsidR="00DD62DA" w:rsidRPr="00594F2B" w:rsidRDefault="00DD62DA" w:rsidP="00DD62DA">
            <w:pPr>
              <w:spacing w:line="480" w:lineRule="auto"/>
              <w:jc w:val="center"/>
              <w:rPr>
                <w:color w:val="000000"/>
                <w:sz w:val="18"/>
                <w:szCs w:val="18"/>
                <w:lang w:val="en-US" w:eastAsia="en-US"/>
              </w:rPr>
            </w:pPr>
          </w:p>
        </w:tc>
        <w:tc>
          <w:tcPr>
            <w:tcW w:w="851" w:type="dxa"/>
            <w:tcBorders>
              <w:top w:val="nil"/>
              <w:left w:val="nil"/>
              <w:bottom w:val="nil"/>
              <w:right w:val="nil"/>
            </w:tcBorders>
          </w:tcPr>
          <w:p w14:paraId="5BB066FD" w14:textId="6F2E3795" w:rsidR="00DD62DA" w:rsidRPr="00594F2B" w:rsidRDefault="00DD62DA" w:rsidP="00DD62DA">
            <w:pPr>
              <w:spacing w:line="480" w:lineRule="auto"/>
              <w:jc w:val="center"/>
              <w:rPr>
                <w:color w:val="000000"/>
                <w:sz w:val="18"/>
                <w:szCs w:val="18"/>
                <w:lang w:val="en-US" w:eastAsia="en-US"/>
              </w:rPr>
            </w:pPr>
          </w:p>
        </w:tc>
        <w:tc>
          <w:tcPr>
            <w:tcW w:w="876" w:type="dxa"/>
            <w:tcBorders>
              <w:top w:val="nil"/>
              <w:left w:val="nil"/>
              <w:bottom w:val="nil"/>
              <w:right w:val="nil"/>
            </w:tcBorders>
            <w:shd w:val="clear" w:color="auto" w:fill="auto"/>
            <w:vAlign w:val="center"/>
            <w:hideMark/>
          </w:tcPr>
          <w:p w14:paraId="0FB63454" w14:textId="77777777" w:rsidR="00DD62DA" w:rsidRPr="00594F2B" w:rsidRDefault="00DD62DA" w:rsidP="00DD62DA">
            <w:pPr>
              <w:spacing w:line="480" w:lineRule="auto"/>
              <w:jc w:val="center"/>
              <w:rPr>
                <w:sz w:val="20"/>
                <w:lang w:val="en-US" w:eastAsia="en-US"/>
              </w:rPr>
            </w:pPr>
          </w:p>
        </w:tc>
      </w:tr>
      <w:tr w:rsidR="00DD62DA" w:rsidRPr="00594F2B" w14:paraId="00859986" w14:textId="77777777" w:rsidTr="00DD62DA">
        <w:trPr>
          <w:trHeight w:val="301"/>
        </w:trPr>
        <w:tc>
          <w:tcPr>
            <w:tcW w:w="1080" w:type="dxa"/>
            <w:tcBorders>
              <w:top w:val="nil"/>
              <w:left w:val="nil"/>
              <w:bottom w:val="nil"/>
              <w:right w:val="nil"/>
            </w:tcBorders>
            <w:shd w:val="clear" w:color="auto" w:fill="auto"/>
            <w:vAlign w:val="center"/>
            <w:hideMark/>
          </w:tcPr>
          <w:p w14:paraId="58F36EBB" w14:textId="77777777" w:rsidR="00DD62DA" w:rsidRPr="00594F2B" w:rsidRDefault="00DD62DA" w:rsidP="00DD62DA">
            <w:pPr>
              <w:jc w:val="center"/>
              <w:rPr>
                <w:b/>
                <w:bCs/>
                <w:color w:val="000000"/>
                <w:sz w:val="18"/>
                <w:szCs w:val="18"/>
                <w:lang w:val="en-US" w:eastAsia="en-US"/>
              </w:rPr>
            </w:pPr>
            <w:r w:rsidRPr="00594F2B">
              <w:rPr>
                <w:b/>
                <w:bCs/>
                <w:color w:val="000000"/>
                <w:sz w:val="18"/>
                <w:szCs w:val="18"/>
                <w:lang w:val="en-US" w:eastAsia="en-US"/>
              </w:rPr>
              <w:t>Stage</w:t>
            </w:r>
          </w:p>
        </w:tc>
        <w:tc>
          <w:tcPr>
            <w:tcW w:w="666" w:type="dxa"/>
            <w:tcBorders>
              <w:top w:val="nil"/>
              <w:left w:val="nil"/>
              <w:bottom w:val="nil"/>
              <w:right w:val="nil"/>
            </w:tcBorders>
            <w:shd w:val="clear" w:color="auto" w:fill="auto"/>
            <w:noWrap/>
            <w:vAlign w:val="center"/>
            <w:hideMark/>
          </w:tcPr>
          <w:p w14:paraId="0DEBE609"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4.310</w:t>
            </w:r>
          </w:p>
        </w:tc>
        <w:tc>
          <w:tcPr>
            <w:tcW w:w="1134" w:type="dxa"/>
            <w:tcBorders>
              <w:top w:val="nil"/>
              <w:left w:val="nil"/>
              <w:bottom w:val="nil"/>
              <w:right w:val="nil"/>
            </w:tcBorders>
            <w:shd w:val="clear" w:color="auto" w:fill="auto"/>
            <w:noWrap/>
            <w:vAlign w:val="center"/>
            <w:hideMark/>
          </w:tcPr>
          <w:p w14:paraId="2DE4A28A"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3.429</w:t>
            </w:r>
          </w:p>
        </w:tc>
        <w:tc>
          <w:tcPr>
            <w:tcW w:w="860" w:type="dxa"/>
            <w:tcBorders>
              <w:top w:val="nil"/>
              <w:left w:val="nil"/>
              <w:bottom w:val="nil"/>
              <w:right w:val="nil"/>
            </w:tcBorders>
            <w:shd w:val="clear" w:color="auto" w:fill="auto"/>
            <w:noWrap/>
            <w:vAlign w:val="center"/>
            <w:hideMark/>
          </w:tcPr>
          <w:p w14:paraId="373C559C"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-0.084</w:t>
            </w:r>
          </w:p>
        </w:tc>
        <w:tc>
          <w:tcPr>
            <w:tcW w:w="846" w:type="dxa"/>
            <w:tcBorders>
              <w:top w:val="nil"/>
              <w:left w:val="nil"/>
              <w:bottom w:val="nil"/>
              <w:right w:val="nil"/>
            </w:tcBorders>
            <w:shd w:val="clear" w:color="auto" w:fill="auto"/>
            <w:noWrap/>
            <w:vAlign w:val="center"/>
            <w:hideMark/>
          </w:tcPr>
          <w:p w14:paraId="20AD1478"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0.087</w:t>
            </w:r>
          </w:p>
        </w:tc>
        <w:tc>
          <w:tcPr>
            <w:tcW w:w="767" w:type="dxa"/>
            <w:tcBorders>
              <w:top w:val="nil"/>
              <w:left w:val="nil"/>
              <w:bottom w:val="nil"/>
              <w:right w:val="nil"/>
            </w:tcBorders>
            <w:shd w:val="clear" w:color="auto" w:fill="auto"/>
            <w:noWrap/>
            <w:vAlign w:val="center"/>
            <w:hideMark/>
          </w:tcPr>
          <w:p w14:paraId="2AF70E6C"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0.08</w:t>
            </w:r>
          </w:p>
        </w:tc>
        <w:tc>
          <w:tcPr>
            <w:tcW w:w="1134" w:type="dxa"/>
            <w:gridSpan w:val="2"/>
            <w:tcBorders>
              <w:top w:val="nil"/>
              <w:left w:val="nil"/>
              <w:bottom w:val="nil"/>
              <w:right w:val="nil"/>
            </w:tcBorders>
            <w:shd w:val="clear" w:color="auto" w:fill="auto"/>
            <w:noWrap/>
            <w:vAlign w:val="center"/>
            <w:hideMark/>
          </w:tcPr>
          <w:p w14:paraId="62F0FC01"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.197**</w:t>
            </w:r>
          </w:p>
        </w:tc>
        <w:tc>
          <w:tcPr>
            <w:tcW w:w="851" w:type="dxa"/>
            <w:gridSpan w:val="2"/>
            <w:tcBorders>
              <w:top w:val="nil"/>
              <w:left w:val="nil"/>
              <w:bottom w:val="nil"/>
              <w:right w:val="nil"/>
            </w:tcBorders>
            <w:shd w:val="clear" w:color="auto" w:fill="auto"/>
            <w:noWrap/>
            <w:vAlign w:val="center"/>
            <w:hideMark/>
          </w:tcPr>
          <w:p w14:paraId="5200AA19" w14:textId="77777777" w:rsidR="00DD62DA" w:rsidRPr="00594F2B" w:rsidRDefault="00DD62DA" w:rsidP="00DD62DA">
            <w:pPr>
              <w:spacing w:line="480" w:lineRule="auto"/>
              <w:jc w:val="center"/>
              <w:rPr>
                <w:color w:val="000000"/>
                <w:sz w:val="18"/>
                <w:szCs w:val="18"/>
                <w:lang w:val="en-US" w:eastAsia="en-US"/>
              </w:rPr>
            </w:pPr>
            <w:r w:rsidRPr="00594F2B">
              <w:rPr>
                <w:color w:val="000000"/>
                <w:sz w:val="18"/>
                <w:szCs w:val="18"/>
                <w:lang w:val="en-US" w:eastAsia="en-US"/>
              </w:rPr>
              <w:t>-0.084</w:t>
            </w:r>
          </w:p>
        </w:tc>
        <w:tc>
          <w:tcPr>
            <w:tcW w:w="850" w:type="dxa"/>
            <w:tcBorders>
              <w:top w:val="nil"/>
              <w:left w:val="nil"/>
              <w:bottom w:val="nil"/>
              <w:right w:val="nil"/>
            </w:tcBorders>
            <w:vAlign w:val="center"/>
          </w:tcPr>
          <w:p w14:paraId="2DD2B975" w14:textId="4F8A183D" w:rsidR="00DD62DA" w:rsidRPr="00594F2B" w:rsidRDefault="00DD62DA" w:rsidP="00DD62DA">
            <w:pPr>
              <w:spacing w:line="480" w:lineRule="auto"/>
              <w:jc w:val="center"/>
              <w:rPr>
                <w:color w:val="000000"/>
                <w:sz w:val="20"/>
                <w:lang w:val="en-US" w:eastAsia="en-US"/>
              </w:rPr>
            </w:pPr>
            <w:r w:rsidRPr="00594F2B">
              <w:rPr>
                <w:color w:val="000000"/>
                <w:sz w:val="20"/>
                <w:lang w:val="en-US" w:eastAsia="en-US"/>
              </w:rPr>
              <w:t>1</w:t>
            </w:r>
          </w:p>
        </w:tc>
        <w:tc>
          <w:tcPr>
            <w:tcW w:w="851" w:type="dxa"/>
            <w:tcBorders>
              <w:top w:val="nil"/>
              <w:left w:val="nil"/>
              <w:bottom w:val="nil"/>
              <w:right w:val="nil"/>
            </w:tcBorders>
          </w:tcPr>
          <w:p w14:paraId="5C2EB852" w14:textId="23CA956A" w:rsidR="00DD62DA" w:rsidRPr="00594F2B" w:rsidRDefault="00DD62DA" w:rsidP="00DD62DA">
            <w:pPr>
              <w:spacing w:line="480" w:lineRule="auto"/>
              <w:jc w:val="center"/>
              <w:rPr>
                <w:color w:val="000000"/>
                <w:sz w:val="20"/>
                <w:lang w:val="en-US" w:eastAsia="en-US"/>
              </w:rPr>
            </w:pPr>
          </w:p>
        </w:tc>
        <w:tc>
          <w:tcPr>
            <w:tcW w:w="876" w:type="dxa"/>
            <w:tcBorders>
              <w:top w:val="nil"/>
              <w:left w:val="nil"/>
              <w:bottom w:val="nil"/>
              <w:right w:val="nil"/>
            </w:tcBorders>
            <w:shd w:val="clear" w:color="auto" w:fill="auto"/>
            <w:vAlign w:val="center"/>
            <w:hideMark/>
          </w:tcPr>
          <w:p w14:paraId="1E501014" w14:textId="77777777" w:rsidR="00DD62DA" w:rsidRPr="00594F2B" w:rsidRDefault="00DD62DA" w:rsidP="00DD62DA">
            <w:pPr>
              <w:spacing w:line="480" w:lineRule="auto"/>
              <w:jc w:val="center"/>
              <w:rPr>
                <w:color w:val="000000"/>
                <w:sz w:val="20"/>
                <w:lang w:val="en-US" w:eastAsia="en-US"/>
              </w:rPr>
            </w:pPr>
          </w:p>
        </w:tc>
      </w:tr>
      <w:tr w:rsidR="00F93818" w:rsidRPr="00594F2B" w14:paraId="11E2DBB9" w14:textId="77777777" w:rsidTr="00DD62DA">
        <w:trPr>
          <w:trHeight w:val="301"/>
        </w:trPr>
        <w:tc>
          <w:tcPr>
            <w:tcW w:w="1080" w:type="dxa"/>
            <w:tcBorders>
              <w:top w:val="nil"/>
              <w:left w:val="nil"/>
              <w:bottom w:val="nil"/>
              <w:right w:val="nil"/>
            </w:tcBorders>
            <w:shd w:val="clear" w:color="auto" w:fill="auto"/>
            <w:vAlign w:val="center"/>
          </w:tcPr>
          <w:p w14:paraId="4885301C" w14:textId="639466CA" w:rsidR="00F93818" w:rsidRPr="00594F2B" w:rsidRDefault="00F93818" w:rsidP="00F93818">
            <w:pPr>
              <w:jc w:val="center"/>
              <w:rPr>
                <w:b/>
                <w:bCs/>
                <w:color w:val="000000"/>
                <w:sz w:val="18"/>
                <w:szCs w:val="18"/>
                <w:lang w:val="en-US" w:eastAsia="en-US"/>
              </w:rPr>
            </w:pPr>
            <w:r>
              <w:rPr>
                <w:b/>
                <w:bCs/>
                <w:color w:val="000000"/>
                <w:sz w:val="18"/>
                <w:szCs w:val="18"/>
                <w:lang w:val="en-US" w:eastAsia="en-US"/>
              </w:rPr>
              <w:t>Equity St</w:t>
            </w:r>
          </w:p>
        </w:tc>
        <w:tc>
          <w:tcPr>
            <w:tcW w:w="666" w:type="dxa"/>
            <w:tcBorders>
              <w:top w:val="nil"/>
              <w:left w:val="nil"/>
              <w:bottom w:val="nil"/>
              <w:right w:val="nil"/>
            </w:tcBorders>
            <w:shd w:val="clear" w:color="auto" w:fill="auto"/>
            <w:noWrap/>
            <w:vAlign w:val="center"/>
          </w:tcPr>
          <w:p w14:paraId="389383F4" w14:textId="1882EB13" w:rsidR="00F93818" w:rsidRPr="00594F2B" w:rsidRDefault="00F93818" w:rsidP="00F93818">
            <w:pPr>
              <w:spacing w:line="480" w:lineRule="auto"/>
              <w:jc w:val="center"/>
              <w:rPr>
                <w:color w:val="000000"/>
                <w:sz w:val="18"/>
                <w:szCs w:val="18"/>
                <w:lang w:val="en-US" w:eastAsia="en-US"/>
              </w:rPr>
            </w:pPr>
            <w:r>
              <w:rPr>
                <w:color w:val="000000"/>
                <w:sz w:val="18"/>
                <w:szCs w:val="18"/>
                <w:lang w:val="en-US" w:eastAsia="en-US"/>
              </w:rPr>
              <w:t>0</w:t>
            </w:r>
            <w:r w:rsidRPr="00594F2B">
              <w:rPr>
                <w:color w:val="000000"/>
                <w:sz w:val="18"/>
                <w:szCs w:val="18"/>
                <w:lang w:val="en-US" w:eastAsia="en-US"/>
              </w:rPr>
              <w:t>.</w:t>
            </w:r>
            <w:r>
              <w:rPr>
                <w:color w:val="000000"/>
                <w:sz w:val="18"/>
                <w:szCs w:val="18"/>
                <w:lang w:val="en-US" w:eastAsia="en-US"/>
              </w:rPr>
              <w:t>29</w:t>
            </w:r>
          </w:p>
        </w:tc>
        <w:tc>
          <w:tcPr>
            <w:tcW w:w="1134" w:type="dxa"/>
            <w:tcBorders>
              <w:top w:val="nil"/>
              <w:left w:val="nil"/>
              <w:bottom w:val="nil"/>
              <w:right w:val="nil"/>
            </w:tcBorders>
            <w:shd w:val="clear" w:color="auto" w:fill="auto"/>
            <w:noWrap/>
            <w:vAlign w:val="center"/>
          </w:tcPr>
          <w:p w14:paraId="0E3A030E" w14:textId="6A178D52" w:rsidR="00F93818" w:rsidRPr="00594F2B" w:rsidRDefault="00F93818" w:rsidP="00F93818">
            <w:pPr>
              <w:spacing w:line="480" w:lineRule="auto"/>
              <w:jc w:val="center"/>
              <w:rPr>
                <w:color w:val="000000"/>
                <w:sz w:val="18"/>
                <w:szCs w:val="18"/>
                <w:lang w:val="en-US" w:eastAsia="en-US"/>
              </w:rPr>
            </w:pPr>
            <w:r w:rsidRPr="00594F2B">
              <w:rPr>
                <w:color w:val="000000"/>
                <w:sz w:val="18"/>
                <w:szCs w:val="18"/>
                <w:lang w:val="en-US" w:eastAsia="en-US"/>
              </w:rPr>
              <w:t>0.</w:t>
            </w:r>
            <w:r>
              <w:rPr>
                <w:color w:val="000000"/>
                <w:sz w:val="18"/>
                <w:szCs w:val="18"/>
                <w:lang w:val="en-US" w:eastAsia="en-US"/>
              </w:rPr>
              <w:t>43</w:t>
            </w:r>
          </w:p>
        </w:tc>
        <w:tc>
          <w:tcPr>
            <w:tcW w:w="860" w:type="dxa"/>
            <w:tcBorders>
              <w:top w:val="nil"/>
              <w:left w:val="nil"/>
              <w:bottom w:val="nil"/>
              <w:right w:val="nil"/>
            </w:tcBorders>
            <w:shd w:val="clear" w:color="auto" w:fill="auto"/>
            <w:noWrap/>
            <w:vAlign w:val="center"/>
          </w:tcPr>
          <w:p w14:paraId="6293FAA3" w14:textId="443A528B" w:rsidR="00F93818" w:rsidRPr="00594F2B" w:rsidRDefault="00F93818" w:rsidP="00F93818">
            <w:pPr>
              <w:spacing w:line="480" w:lineRule="auto"/>
              <w:jc w:val="center"/>
              <w:rPr>
                <w:color w:val="000000"/>
                <w:sz w:val="18"/>
                <w:szCs w:val="18"/>
                <w:lang w:val="en-US" w:eastAsia="en-US"/>
              </w:rPr>
            </w:pPr>
            <w:r w:rsidRPr="00594F2B">
              <w:rPr>
                <w:color w:val="000000"/>
                <w:sz w:val="18"/>
                <w:szCs w:val="18"/>
                <w:lang w:val="en-US" w:eastAsia="en-US"/>
              </w:rPr>
              <w:t>.</w:t>
            </w:r>
            <w:r>
              <w:rPr>
                <w:color w:val="000000"/>
                <w:sz w:val="18"/>
                <w:szCs w:val="18"/>
                <w:lang w:val="en-US" w:eastAsia="en-US"/>
              </w:rPr>
              <w:t>04</w:t>
            </w:r>
          </w:p>
        </w:tc>
        <w:tc>
          <w:tcPr>
            <w:tcW w:w="846" w:type="dxa"/>
            <w:tcBorders>
              <w:top w:val="nil"/>
              <w:left w:val="nil"/>
              <w:bottom w:val="nil"/>
              <w:right w:val="nil"/>
            </w:tcBorders>
            <w:shd w:val="clear" w:color="auto" w:fill="auto"/>
            <w:noWrap/>
            <w:vAlign w:val="center"/>
          </w:tcPr>
          <w:p w14:paraId="62033526" w14:textId="356A0F78" w:rsidR="00F93818" w:rsidRPr="00594F2B" w:rsidRDefault="00F93818" w:rsidP="00F93818">
            <w:pPr>
              <w:spacing w:line="480" w:lineRule="auto"/>
              <w:jc w:val="center"/>
              <w:rPr>
                <w:color w:val="000000"/>
                <w:sz w:val="18"/>
                <w:szCs w:val="18"/>
                <w:lang w:val="en-US" w:eastAsia="en-US"/>
              </w:rPr>
            </w:pPr>
            <w:r>
              <w:rPr>
                <w:color w:val="000000"/>
                <w:sz w:val="18"/>
                <w:szCs w:val="18"/>
                <w:lang w:val="en-US" w:eastAsia="en-US"/>
              </w:rPr>
              <w:t>-</w:t>
            </w:r>
            <w:r w:rsidRPr="00594F2B">
              <w:rPr>
                <w:color w:val="000000"/>
                <w:sz w:val="18"/>
                <w:szCs w:val="18"/>
                <w:lang w:val="en-US" w:eastAsia="en-US"/>
              </w:rPr>
              <w:t>.</w:t>
            </w:r>
            <w:r>
              <w:rPr>
                <w:color w:val="000000"/>
                <w:sz w:val="18"/>
                <w:szCs w:val="18"/>
                <w:lang w:val="en-US" w:eastAsia="en-US"/>
              </w:rPr>
              <w:t>14</w:t>
            </w:r>
            <w:r w:rsidRPr="00594F2B">
              <w:rPr>
                <w:color w:val="000000"/>
                <w:sz w:val="18"/>
                <w:szCs w:val="18"/>
                <w:lang w:val="en-US" w:eastAsia="en-US"/>
              </w:rPr>
              <w:t>*</w:t>
            </w:r>
          </w:p>
        </w:tc>
        <w:tc>
          <w:tcPr>
            <w:tcW w:w="767" w:type="dxa"/>
            <w:tcBorders>
              <w:top w:val="nil"/>
              <w:left w:val="nil"/>
              <w:bottom w:val="nil"/>
              <w:right w:val="nil"/>
            </w:tcBorders>
            <w:shd w:val="clear" w:color="auto" w:fill="auto"/>
            <w:noWrap/>
            <w:vAlign w:val="center"/>
          </w:tcPr>
          <w:p w14:paraId="301AEF43" w14:textId="6BDD9B33" w:rsidR="00F93818" w:rsidRPr="00594F2B" w:rsidRDefault="00F93818" w:rsidP="00F93818">
            <w:pPr>
              <w:spacing w:line="480" w:lineRule="auto"/>
              <w:jc w:val="center"/>
              <w:rPr>
                <w:color w:val="000000"/>
                <w:sz w:val="18"/>
                <w:szCs w:val="18"/>
                <w:lang w:val="en-US" w:eastAsia="en-US"/>
              </w:rPr>
            </w:pPr>
            <w:r>
              <w:rPr>
                <w:color w:val="000000"/>
                <w:sz w:val="18"/>
                <w:szCs w:val="18"/>
                <w:lang w:val="en-US" w:eastAsia="en-US"/>
              </w:rPr>
              <w:t>-</w:t>
            </w:r>
            <w:r w:rsidRPr="00594F2B">
              <w:rPr>
                <w:color w:val="000000"/>
                <w:sz w:val="18"/>
                <w:szCs w:val="18"/>
                <w:lang w:val="en-US" w:eastAsia="en-US"/>
              </w:rPr>
              <w:t>.</w:t>
            </w:r>
            <w:r>
              <w:rPr>
                <w:color w:val="000000"/>
                <w:sz w:val="18"/>
                <w:szCs w:val="18"/>
                <w:lang w:val="en-US" w:eastAsia="en-US"/>
              </w:rPr>
              <w:t>27*</w:t>
            </w:r>
          </w:p>
        </w:tc>
        <w:tc>
          <w:tcPr>
            <w:tcW w:w="1134" w:type="dxa"/>
            <w:gridSpan w:val="2"/>
            <w:tcBorders>
              <w:top w:val="nil"/>
              <w:left w:val="nil"/>
              <w:bottom w:val="nil"/>
              <w:right w:val="nil"/>
            </w:tcBorders>
            <w:shd w:val="clear" w:color="auto" w:fill="auto"/>
            <w:noWrap/>
            <w:vAlign w:val="center"/>
          </w:tcPr>
          <w:p w14:paraId="1459ABDE" w14:textId="27AF1814" w:rsidR="00F93818" w:rsidRPr="00594F2B" w:rsidRDefault="00F93818" w:rsidP="00F93818">
            <w:pPr>
              <w:spacing w:line="480" w:lineRule="auto"/>
              <w:jc w:val="center"/>
              <w:rPr>
                <w:color w:val="000000"/>
                <w:sz w:val="18"/>
                <w:szCs w:val="18"/>
                <w:lang w:val="en-US" w:eastAsia="en-US"/>
              </w:rPr>
            </w:pPr>
            <w:r>
              <w:rPr>
                <w:color w:val="000000"/>
                <w:sz w:val="18"/>
                <w:szCs w:val="18"/>
                <w:lang w:val="en-US" w:eastAsia="en-US"/>
              </w:rPr>
              <w:t>-</w:t>
            </w:r>
            <w:r w:rsidRPr="00594F2B">
              <w:rPr>
                <w:color w:val="000000"/>
                <w:sz w:val="18"/>
                <w:szCs w:val="18"/>
                <w:lang w:val="en-US" w:eastAsia="en-US"/>
              </w:rPr>
              <w:t>.</w:t>
            </w:r>
            <w:r>
              <w:rPr>
                <w:color w:val="000000"/>
                <w:sz w:val="18"/>
                <w:szCs w:val="18"/>
                <w:lang w:val="en-US" w:eastAsia="en-US"/>
              </w:rPr>
              <w:t>28</w:t>
            </w:r>
            <w:r w:rsidRPr="00594F2B">
              <w:rPr>
                <w:color w:val="000000"/>
                <w:sz w:val="18"/>
                <w:szCs w:val="18"/>
                <w:lang w:val="en-US" w:eastAsia="en-US"/>
              </w:rPr>
              <w:t>**</w:t>
            </w:r>
          </w:p>
        </w:tc>
        <w:tc>
          <w:tcPr>
            <w:tcW w:w="851" w:type="dxa"/>
            <w:gridSpan w:val="2"/>
            <w:tcBorders>
              <w:top w:val="nil"/>
              <w:left w:val="nil"/>
              <w:bottom w:val="nil"/>
              <w:right w:val="nil"/>
            </w:tcBorders>
            <w:shd w:val="clear" w:color="auto" w:fill="auto"/>
            <w:noWrap/>
            <w:vAlign w:val="center"/>
          </w:tcPr>
          <w:p w14:paraId="4F2324E9" w14:textId="612935CD" w:rsidR="00F93818" w:rsidRPr="00594F2B" w:rsidRDefault="00F93818" w:rsidP="00F93818">
            <w:pPr>
              <w:spacing w:line="480" w:lineRule="auto"/>
              <w:jc w:val="center"/>
              <w:rPr>
                <w:color w:val="000000"/>
                <w:sz w:val="18"/>
                <w:szCs w:val="18"/>
                <w:lang w:val="en-US" w:eastAsia="en-US"/>
              </w:rPr>
            </w:pPr>
            <w:r>
              <w:rPr>
                <w:color w:val="000000"/>
                <w:sz w:val="18"/>
                <w:szCs w:val="18"/>
                <w:lang w:val="en-US" w:eastAsia="en-US"/>
              </w:rPr>
              <w:t>0.0</w:t>
            </w:r>
            <w:r w:rsidRPr="00594F2B">
              <w:rPr>
                <w:color w:val="000000"/>
                <w:sz w:val="18"/>
                <w:szCs w:val="18"/>
                <w:lang w:val="en-US" w:eastAsia="en-US"/>
              </w:rPr>
              <w:t>8</w:t>
            </w:r>
            <w:r>
              <w:rPr>
                <w:color w:val="000000"/>
                <w:sz w:val="18"/>
                <w:szCs w:val="18"/>
                <w:lang w:val="en-US" w:eastAsia="en-US"/>
              </w:rPr>
              <w:t>1</w:t>
            </w:r>
          </w:p>
        </w:tc>
        <w:tc>
          <w:tcPr>
            <w:tcW w:w="850" w:type="dxa"/>
            <w:tcBorders>
              <w:top w:val="nil"/>
              <w:left w:val="nil"/>
              <w:bottom w:val="nil"/>
              <w:right w:val="nil"/>
            </w:tcBorders>
            <w:vAlign w:val="center"/>
          </w:tcPr>
          <w:p w14:paraId="124BE081" w14:textId="0C7D6635" w:rsidR="00F93818" w:rsidRPr="00594F2B" w:rsidRDefault="00F93818" w:rsidP="00F93818">
            <w:pPr>
              <w:spacing w:line="480" w:lineRule="auto"/>
              <w:jc w:val="center"/>
              <w:rPr>
                <w:color w:val="000000"/>
                <w:sz w:val="20"/>
                <w:lang w:val="en-US" w:eastAsia="en-US"/>
              </w:rPr>
            </w:pPr>
            <w:r>
              <w:rPr>
                <w:color w:val="000000"/>
                <w:sz w:val="20"/>
                <w:lang w:val="en-US" w:eastAsia="en-US"/>
              </w:rPr>
              <w:t>0.06</w:t>
            </w:r>
          </w:p>
        </w:tc>
        <w:tc>
          <w:tcPr>
            <w:tcW w:w="851" w:type="dxa"/>
            <w:tcBorders>
              <w:top w:val="nil"/>
              <w:left w:val="nil"/>
              <w:bottom w:val="nil"/>
              <w:right w:val="nil"/>
            </w:tcBorders>
          </w:tcPr>
          <w:p w14:paraId="03F070E3" w14:textId="4F383CE2" w:rsidR="00F93818" w:rsidRPr="00594F2B" w:rsidRDefault="00F93818" w:rsidP="00F93818">
            <w:pPr>
              <w:spacing w:line="480" w:lineRule="auto"/>
              <w:jc w:val="center"/>
              <w:rPr>
                <w:color w:val="000000"/>
                <w:sz w:val="20"/>
                <w:lang w:val="en-US" w:eastAsia="en-US"/>
              </w:rPr>
            </w:pPr>
            <w:r>
              <w:rPr>
                <w:color w:val="000000"/>
                <w:sz w:val="20"/>
                <w:lang w:val="en-US" w:eastAsia="en-US"/>
              </w:rPr>
              <w:t>1</w:t>
            </w:r>
          </w:p>
        </w:tc>
        <w:tc>
          <w:tcPr>
            <w:tcW w:w="876" w:type="dxa"/>
            <w:tcBorders>
              <w:top w:val="nil"/>
              <w:left w:val="nil"/>
              <w:bottom w:val="nil"/>
              <w:right w:val="nil"/>
            </w:tcBorders>
            <w:shd w:val="clear" w:color="auto" w:fill="auto"/>
            <w:vAlign w:val="center"/>
          </w:tcPr>
          <w:p w14:paraId="3A275489" w14:textId="77777777" w:rsidR="00F93818" w:rsidRPr="00594F2B" w:rsidRDefault="00F93818" w:rsidP="00F93818">
            <w:pPr>
              <w:spacing w:line="480" w:lineRule="auto"/>
              <w:jc w:val="center"/>
              <w:rPr>
                <w:color w:val="000000"/>
                <w:sz w:val="20"/>
                <w:lang w:val="en-US" w:eastAsia="en-US"/>
              </w:rPr>
            </w:pPr>
          </w:p>
        </w:tc>
      </w:tr>
      <w:tr w:rsidR="00F93818" w:rsidRPr="00594F2B" w14:paraId="5FC5AD4E" w14:textId="77777777" w:rsidTr="00DD62DA">
        <w:trPr>
          <w:trHeight w:val="301"/>
        </w:trPr>
        <w:tc>
          <w:tcPr>
            <w:tcW w:w="1080" w:type="dxa"/>
            <w:tcBorders>
              <w:top w:val="nil"/>
              <w:left w:val="nil"/>
              <w:bottom w:val="single" w:sz="4" w:space="0" w:color="auto"/>
              <w:right w:val="nil"/>
            </w:tcBorders>
            <w:shd w:val="clear" w:color="auto" w:fill="auto"/>
            <w:vAlign w:val="center"/>
            <w:hideMark/>
          </w:tcPr>
          <w:p w14:paraId="205F5D62" w14:textId="77777777" w:rsidR="00F93818" w:rsidRPr="00594F2B" w:rsidRDefault="00F93818" w:rsidP="00F93818">
            <w:pPr>
              <w:jc w:val="center"/>
              <w:rPr>
                <w:b/>
                <w:bCs/>
                <w:i/>
                <w:iCs/>
                <w:color w:val="000000"/>
                <w:sz w:val="20"/>
                <w:lang w:val="en-US" w:eastAsia="en-US"/>
              </w:rPr>
            </w:pPr>
            <w:r w:rsidRPr="00594F2B">
              <w:rPr>
                <w:b/>
                <w:bCs/>
                <w:i/>
                <w:iCs/>
                <w:color w:val="000000"/>
                <w:sz w:val="20"/>
                <w:lang w:val="en-US" w:eastAsia="en-US"/>
              </w:rPr>
              <w:t>Financial Capital</w:t>
            </w:r>
          </w:p>
        </w:tc>
        <w:tc>
          <w:tcPr>
            <w:tcW w:w="666" w:type="dxa"/>
            <w:tcBorders>
              <w:top w:val="nil"/>
              <w:left w:val="nil"/>
              <w:bottom w:val="single" w:sz="4" w:space="0" w:color="auto"/>
              <w:right w:val="nil"/>
            </w:tcBorders>
            <w:shd w:val="clear" w:color="auto" w:fill="auto"/>
            <w:vAlign w:val="bottom"/>
            <w:hideMark/>
          </w:tcPr>
          <w:p w14:paraId="058E38D2" w14:textId="77777777" w:rsidR="00F93818" w:rsidRPr="00594F2B" w:rsidRDefault="00F93818" w:rsidP="00F93818">
            <w:pPr>
              <w:spacing w:line="480" w:lineRule="auto"/>
              <w:jc w:val="center"/>
              <w:rPr>
                <w:color w:val="000000"/>
                <w:sz w:val="20"/>
                <w:lang w:val="en-US" w:eastAsia="en-US"/>
              </w:rPr>
            </w:pPr>
            <w:r w:rsidRPr="00594F2B">
              <w:rPr>
                <w:color w:val="000000"/>
                <w:sz w:val="20"/>
                <w:lang w:val="en-US" w:eastAsia="en-US"/>
              </w:rPr>
              <w:t>4.570</w:t>
            </w:r>
          </w:p>
        </w:tc>
        <w:tc>
          <w:tcPr>
            <w:tcW w:w="1134" w:type="dxa"/>
            <w:tcBorders>
              <w:top w:val="nil"/>
              <w:left w:val="nil"/>
              <w:bottom w:val="single" w:sz="4" w:space="0" w:color="auto"/>
              <w:right w:val="nil"/>
            </w:tcBorders>
            <w:shd w:val="clear" w:color="auto" w:fill="auto"/>
            <w:vAlign w:val="bottom"/>
            <w:hideMark/>
          </w:tcPr>
          <w:p w14:paraId="3C268274" w14:textId="77777777" w:rsidR="00F93818" w:rsidRPr="00594F2B" w:rsidRDefault="00F93818" w:rsidP="00F93818">
            <w:pPr>
              <w:spacing w:line="480" w:lineRule="auto"/>
              <w:jc w:val="center"/>
              <w:rPr>
                <w:color w:val="000000"/>
                <w:sz w:val="20"/>
                <w:lang w:val="en-US" w:eastAsia="en-US"/>
              </w:rPr>
            </w:pPr>
            <w:r w:rsidRPr="00594F2B">
              <w:rPr>
                <w:color w:val="000000"/>
                <w:sz w:val="20"/>
                <w:lang w:val="en-US" w:eastAsia="en-US"/>
              </w:rPr>
              <w:t>1.945</w:t>
            </w:r>
          </w:p>
        </w:tc>
        <w:tc>
          <w:tcPr>
            <w:tcW w:w="860" w:type="dxa"/>
            <w:tcBorders>
              <w:top w:val="nil"/>
              <w:left w:val="nil"/>
              <w:bottom w:val="single" w:sz="4" w:space="0" w:color="auto"/>
              <w:right w:val="nil"/>
            </w:tcBorders>
            <w:shd w:val="clear" w:color="auto" w:fill="auto"/>
            <w:vAlign w:val="bottom"/>
            <w:hideMark/>
          </w:tcPr>
          <w:p w14:paraId="2C677A24" w14:textId="77777777" w:rsidR="00F93818" w:rsidRPr="00594F2B" w:rsidRDefault="00F93818" w:rsidP="00F93818">
            <w:pPr>
              <w:spacing w:line="480" w:lineRule="auto"/>
              <w:jc w:val="center"/>
              <w:rPr>
                <w:color w:val="000000"/>
                <w:sz w:val="20"/>
                <w:lang w:val="en-US" w:eastAsia="en-US"/>
              </w:rPr>
            </w:pPr>
            <w:r w:rsidRPr="00594F2B">
              <w:rPr>
                <w:color w:val="000000"/>
                <w:sz w:val="20"/>
                <w:lang w:val="en-US" w:eastAsia="en-US"/>
              </w:rPr>
              <w:t>0.043</w:t>
            </w:r>
          </w:p>
        </w:tc>
        <w:tc>
          <w:tcPr>
            <w:tcW w:w="846" w:type="dxa"/>
            <w:tcBorders>
              <w:top w:val="nil"/>
              <w:left w:val="nil"/>
              <w:bottom w:val="single" w:sz="4" w:space="0" w:color="auto"/>
              <w:right w:val="nil"/>
            </w:tcBorders>
            <w:shd w:val="clear" w:color="auto" w:fill="auto"/>
            <w:noWrap/>
            <w:vAlign w:val="bottom"/>
            <w:hideMark/>
          </w:tcPr>
          <w:p w14:paraId="18C578B8" w14:textId="77777777" w:rsidR="00F93818" w:rsidRPr="00594F2B" w:rsidRDefault="00F93818" w:rsidP="00F93818">
            <w:pPr>
              <w:spacing w:line="480" w:lineRule="auto"/>
              <w:jc w:val="center"/>
              <w:rPr>
                <w:color w:val="000000"/>
                <w:sz w:val="20"/>
                <w:lang w:val="en-US" w:eastAsia="en-US"/>
              </w:rPr>
            </w:pPr>
            <w:r w:rsidRPr="00594F2B">
              <w:rPr>
                <w:color w:val="000000"/>
                <w:sz w:val="20"/>
                <w:lang w:val="en-US" w:eastAsia="en-US"/>
              </w:rPr>
              <w:t>-.117*</w:t>
            </w:r>
          </w:p>
        </w:tc>
        <w:tc>
          <w:tcPr>
            <w:tcW w:w="767" w:type="dxa"/>
            <w:tcBorders>
              <w:top w:val="nil"/>
              <w:left w:val="nil"/>
              <w:bottom w:val="single" w:sz="4" w:space="0" w:color="auto"/>
              <w:right w:val="nil"/>
            </w:tcBorders>
            <w:shd w:val="clear" w:color="auto" w:fill="auto"/>
            <w:noWrap/>
            <w:vAlign w:val="bottom"/>
            <w:hideMark/>
          </w:tcPr>
          <w:p w14:paraId="6AB4E2D0" w14:textId="77777777" w:rsidR="00F93818" w:rsidRPr="00594F2B" w:rsidRDefault="00F93818" w:rsidP="00F93818">
            <w:pPr>
              <w:spacing w:line="480" w:lineRule="auto"/>
              <w:jc w:val="center"/>
              <w:rPr>
                <w:color w:val="000000"/>
                <w:sz w:val="20"/>
                <w:lang w:val="en-US" w:eastAsia="en-US"/>
              </w:rPr>
            </w:pPr>
            <w:r w:rsidRPr="00594F2B">
              <w:rPr>
                <w:color w:val="000000"/>
                <w:sz w:val="20"/>
                <w:lang w:val="en-US" w:eastAsia="en-US"/>
              </w:rPr>
              <w:t>0.03</w:t>
            </w:r>
          </w:p>
        </w:tc>
        <w:tc>
          <w:tcPr>
            <w:tcW w:w="1134" w:type="dxa"/>
            <w:gridSpan w:val="2"/>
            <w:tcBorders>
              <w:top w:val="nil"/>
              <w:left w:val="nil"/>
              <w:bottom w:val="single" w:sz="4" w:space="0" w:color="auto"/>
              <w:right w:val="nil"/>
            </w:tcBorders>
            <w:shd w:val="clear" w:color="auto" w:fill="auto"/>
            <w:noWrap/>
            <w:vAlign w:val="bottom"/>
            <w:hideMark/>
          </w:tcPr>
          <w:p w14:paraId="386E39B4" w14:textId="77777777" w:rsidR="00F93818" w:rsidRPr="00594F2B" w:rsidRDefault="00F93818" w:rsidP="00F93818">
            <w:pPr>
              <w:spacing w:line="480" w:lineRule="auto"/>
              <w:jc w:val="center"/>
              <w:rPr>
                <w:color w:val="000000"/>
                <w:sz w:val="20"/>
                <w:lang w:val="en-US" w:eastAsia="en-US"/>
              </w:rPr>
            </w:pPr>
            <w:r w:rsidRPr="00594F2B">
              <w:rPr>
                <w:color w:val="000000"/>
                <w:sz w:val="20"/>
                <w:lang w:val="en-US" w:eastAsia="en-US"/>
              </w:rPr>
              <w:t>-0.014</w:t>
            </w:r>
          </w:p>
        </w:tc>
        <w:tc>
          <w:tcPr>
            <w:tcW w:w="623" w:type="dxa"/>
            <w:tcBorders>
              <w:top w:val="nil"/>
              <w:left w:val="nil"/>
              <w:bottom w:val="single" w:sz="4" w:space="0" w:color="auto"/>
              <w:right w:val="nil"/>
            </w:tcBorders>
            <w:shd w:val="clear" w:color="auto" w:fill="auto"/>
            <w:vAlign w:val="bottom"/>
            <w:hideMark/>
          </w:tcPr>
          <w:p w14:paraId="77A876B1" w14:textId="77777777" w:rsidR="00F93818" w:rsidRPr="00594F2B" w:rsidRDefault="00F93818" w:rsidP="00F93818">
            <w:pPr>
              <w:spacing w:line="480" w:lineRule="auto"/>
              <w:jc w:val="center"/>
              <w:rPr>
                <w:color w:val="000000"/>
                <w:sz w:val="20"/>
                <w:lang w:val="en-US" w:eastAsia="en-US"/>
              </w:rPr>
            </w:pPr>
            <w:r w:rsidRPr="00594F2B">
              <w:rPr>
                <w:color w:val="000000"/>
                <w:sz w:val="20"/>
                <w:lang w:val="en-US" w:eastAsia="en-US"/>
              </w:rPr>
              <w:t>0.11</w:t>
            </w:r>
          </w:p>
        </w:tc>
        <w:tc>
          <w:tcPr>
            <w:tcW w:w="1078" w:type="dxa"/>
            <w:gridSpan w:val="2"/>
            <w:tcBorders>
              <w:top w:val="nil"/>
              <w:left w:val="nil"/>
              <w:bottom w:val="single" w:sz="4" w:space="0" w:color="auto"/>
              <w:right w:val="nil"/>
            </w:tcBorders>
            <w:vAlign w:val="bottom"/>
          </w:tcPr>
          <w:p w14:paraId="0A75EB21" w14:textId="7FD0A968" w:rsidR="00F93818" w:rsidRPr="00594F2B" w:rsidRDefault="00F93818" w:rsidP="00F93818">
            <w:pPr>
              <w:spacing w:line="480" w:lineRule="auto"/>
              <w:jc w:val="center"/>
              <w:rPr>
                <w:color w:val="000000"/>
                <w:sz w:val="20"/>
                <w:lang w:val="en-US" w:eastAsia="en-US"/>
              </w:rPr>
            </w:pPr>
            <w:r w:rsidRPr="00594F2B">
              <w:rPr>
                <w:color w:val="000000"/>
                <w:sz w:val="20"/>
                <w:lang w:val="en-US" w:eastAsia="en-US"/>
              </w:rPr>
              <w:t>0.104</w:t>
            </w:r>
          </w:p>
        </w:tc>
        <w:tc>
          <w:tcPr>
            <w:tcW w:w="851" w:type="dxa"/>
            <w:tcBorders>
              <w:top w:val="nil"/>
              <w:left w:val="nil"/>
              <w:bottom w:val="single" w:sz="4" w:space="0" w:color="auto"/>
              <w:right w:val="nil"/>
            </w:tcBorders>
          </w:tcPr>
          <w:p w14:paraId="570D297E" w14:textId="3B847A5A" w:rsidR="00F93818" w:rsidRPr="00594F2B" w:rsidRDefault="00F93818" w:rsidP="00F93818">
            <w:pPr>
              <w:spacing w:line="480" w:lineRule="auto"/>
              <w:jc w:val="center"/>
              <w:rPr>
                <w:color w:val="000000"/>
                <w:sz w:val="20"/>
                <w:lang w:val="en-US" w:eastAsia="en-US"/>
              </w:rPr>
            </w:pPr>
            <w:r>
              <w:rPr>
                <w:color w:val="000000"/>
                <w:sz w:val="20"/>
                <w:lang w:val="en-US" w:eastAsia="en-US"/>
              </w:rPr>
              <w:t>0.312</w:t>
            </w:r>
          </w:p>
        </w:tc>
        <w:tc>
          <w:tcPr>
            <w:tcW w:w="876" w:type="dxa"/>
            <w:tcBorders>
              <w:top w:val="nil"/>
              <w:left w:val="nil"/>
              <w:bottom w:val="single" w:sz="4" w:space="0" w:color="auto"/>
              <w:right w:val="nil"/>
            </w:tcBorders>
            <w:shd w:val="clear" w:color="auto" w:fill="auto"/>
            <w:vAlign w:val="center"/>
            <w:hideMark/>
          </w:tcPr>
          <w:p w14:paraId="346347C9" w14:textId="77777777" w:rsidR="00F93818" w:rsidRPr="00594F2B" w:rsidRDefault="00F93818" w:rsidP="00F93818">
            <w:pPr>
              <w:spacing w:line="480" w:lineRule="auto"/>
              <w:jc w:val="center"/>
              <w:rPr>
                <w:b/>
                <w:bCs/>
                <w:i/>
                <w:iCs/>
                <w:color w:val="000000"/>
                <w:sz w:val="20"/>
                <w:lang w:val="en-US" w:eastAsia="en-US"/>
              </w:rPr>
            </w:pPr>
            <w:r w:rsidRPr="00594F2B">
              <w:rPr>
                <w:b/>
                <w:bCs/>
                <w:i/>
                <w:iCs/>
                <w:color w:val="000000"/>
                <w:sz w:val="20"/>
                <w:lang w:val="en-US" w:eastAsia="en-US"/>
              </w:rPr>
              <w:t>1</w:t>
            </w:r>
          </w:p>
        </w:tc>
      </w:tr>
    </w:tbl>
    <w:p w14:paraId="0CD31400" w14:textId="77777777" w:rsidR="00224FC5" w:rsidRPr="00594F2B" w:rsidRDefault="00224FC5" w:rsidP="00946004">
      <w:pPr>
        <w:pStyle w:val="SalehProyectoTesisFormatting"/>
        <w:jc w:val="center"/>
      </w:pPr>
    </w:p>
    <w:p w14:paraId="18B2F65B" w14:textId="77777777" w:rsidR="00224FC5" w:rsidRPr="00594F2B" w:rsidRDefault="00224FC5" w:rsidP="00946004">
      <w:pPr>
        <w:pStyle w:val="SalehProyectoTesisFormatting"/>
        <w:jc w:val="center"/>
      </w:pPr>
    </w:p>
    <w:p w14:paraId="474BD5B0" w14:textId="4C8AF44E" w:rsidR="009159E1" w:rsidRPr="00594F2B" w:rsidRDefault="009159E1" w:rsidP="00946004">
      <w:pPr>
        <w:pStyle w:val="SalehProyectoTesisFormatting"/>
        <w:jc w:val="center"/>
        <w:rPr>
          <w:b/>
          <w:bCs/>
        </w:rPr>
      </w:pPr>
    </w:p>
    <w:p w14:paraId="43032E34" w14:textId="77777777" w:rsidR="001F2E1F" w:rsidRPr="00594F2B" w:rsidRDefault="001F2E1F" w:rsidP="00946004">
      <w:pPr>
        <w:pStyle w:val="SalehProyectoTesisFormatting"/>
        <w:jc w:val="center"/>
      </w:pPr>
    </w:p>
    <w:p w14:paraId="1ABD312D" w14:textId="77777777" w:rsidR="0049161C" w:rsidRPr="00594F2B" w:rsidRDefault="0049161C" w:rsidP="00946004">
      <w:pPr>
        <w:pStyle w:val="SalehProyectoTesisFormatting"/>
        <w:jc w:val="center"/>
      </w:pPr>
    </w:p>
    <w:p w14:paraId="613A923A" w14:textId="7EC6DEA8" w:rsidR="0049161C" w:rsidRPr="00594F2B" w:rsidRDefault="0049161C" w:rsidP="00946004">
      <w:pPr>
        <w:pStyle w:val="SalehProyectoTesisFormatting"/>
        <w:jc w:val="center"/>
      </w:pPr>
    </w:p>
    <w:p w14:paraId="1F08A1A6" w14:textId="77777777" w:rsidR="0049161C" w:rsidRPr="00594F2B" w:rsidRDefault="0049161C" w:rsidP="004F5911">
      <w:pPr>
        <w:pStyle w:val="SalehProyectoTesisFormatting"/>
      </w:pPr>
    </w:p>
    <w:p w14:paraId="5A1739E7" w14:textId="77777777" w:rsidR="00946004" w:rsidRPr="00594F2B" w:rsidRDefault="00946004" w:rsidP="00765D3D">
      <w:pPr>
        <w:keepNext/>
        <w:spacing w:after="160" w:line="480" w:lineRule="auto"/>
        <w:ind w:firstLine="720"/>
        <w:jc w:val="center"/>
        <w:outlineLvl w:val="3"/>
        <w:rPr>
          <w:rFonts w:eastAsia="Calibri" w:cs="Arial"/>
          <w:b/>
          <w:bCs/>
          <w:szCs w:val="24"/>
          <w:lang w:val="en-US" w:eastAsia="en-US" w:bidi="fa-IR"/>
        </w:rPr>
        <w:sectPr w:rsidR="00946004" w:rsidRPr="00594F2B" w:rsidSect="006910F8">
          <w:headerReference w:type="default" r:id="rId11"/>
          <w:footerReference w:type="default" r:id="rId12"/>
          <w:pgSz w:w="11907" w:h="16840" w:code="9"/>
          <w:pgMar w:top="1699" w:right="1382" w:bottom="1699" w:left="1440" w:header="720" w:footer="720" w:gutter="0"/>
          <w:cols w:space="720"/>
          <w:docGrid w:linePitch="326"/>
        </w:sectPr>
      </w:pPr>
    </w:p>
    <w:p w14:paraId="2009A0D4" w14:textId="3250A002" w:rsidR="001F2E1F" w:rsidRPr="00594F2B" w:rsidRDefault="001F2E1F" w:rsidP="006910F8">
      <w:pPr>
        <w:keepNext/>
        <w:spacing w:after="160" w:line="480" w:lineRule="auto"/>
        <w:ind w:firstLine="720"/>
        <w:jc w:val="center"/>
        <w:outlineLvl w:val="3"/>
        <w:rPr>
          <w:lang w:val="en-US"/>
        </w:rPr>
      </w:pPr>
      <w:r w:rsidRPr="00594F2B">
        <w:rPr>
          <w:rFonts w:eastAsia="Calibri" w:cs="Arial"/>
          <w:b/>
          <w:bCs/>
          <w:szCs w:val="24"/>
          <w:lang w:val="en-US" w:eastAsia="en-US" w:bidi="fa-IR"/>
        </w:rPr>
        <w:lastRenderedPageBreak/>
        <w:t>Table 2: Hierarchical Linear Regressions</w:t>
      </w:r>
    </w:p>
    <w:p w14:paraId="078BBA62" w14:textId="77777777" w:rsidR="00946004" w:rsidRDefault="00946004">
      <w:pPr>
        <w:pStyle w:val="SalehProyectoTesisFormatting"/>
        <w:ind w:firstLine="0"/>
      </w:pPr>
    </w:p>
    <w:tbl>
      <w:tblPr>
        <w:tblW w:w="8040" w:type="dxa"/>
        <w:tblInd w:w="55" w:type="dxa"/>
        <w:tblCellMar>
          <w:left w:w="70" w:type="dxa"/>
          <w:right w:w="70" w:type="dxa"/>
        </w:tblCellMar>
        <w:tblLook w:val="04A0" w:firstRow="1" w:lastRow="0" w:firstColumn="1" w:lastColumn="0" w:noHBand="0" w:noVBand="1"/>
      </w:tblPr>
      <w:tblGrid>
        <w:gridCol w:w="2425"/>
        <w:gridCol w:w="815"/>
        <w:gridCol w:w="960"/>
        <w:gridCol w:w="960"/>
        <w:gridCol w:w="960"/>
        <w:gridCol w:w="960"/>
        <w:gridCol w:w="960"/>
      </w:tblGrid>
      <w:tr w:rsidR="006910F8" w:rsidRPr="006910F8" w14:paraId="46BF8495" w14:textId="77777777" w:rsidTr="00F95572">
        <w:trPr>
          <w:trHeight w:val="315"/>
        </w:trPr>
        <w:tc>
          <w:tcPr>
            <w:tcW w:w="2425" w:type="dxa"/>
            <w:tcBorders>
              <w:top w:val="nil"/>
              <w:left w:val="nil"/>
              <w:bottom w:val="nil"/>
              <w:right w:val="nil"/>
            </w:tcBorders>
            <w:shd w:val="clear" w:color="auto" w:fill="auto"/>
            <w:noWrap/>
            <w:vAlign w:val="bottom"/>
            <w:hideMark/>
          </w:tcPr>
          <w:p w14:paraId="2A62F539" w14:textId="77777777" w:rsidR="006910F8" w:rsidRPr="006910F8" w:rsidRDefault="006910F8" w:rsidP="006910F8">
            <w:pPr>
              <w:rPr>
                <w:rFonts w:ascii="Calibri" w:hAnsi="Calibri"/>
                <w:color w:val="000000"/>
                <w:sz w:val="22"/>
                <w:szCs w:val="22"/>
                <w:lang w:val="es-ES"/>
              </w:rPr>
            </w:pPr>
          </w:p>
        </w:tc>
        <w:tc>
          <w:tcPr>
            <w:tcW w:w="815" w:type="dxa"/>
            <w:tcBorders>
              <w:top w:val="nil"/>
              <w:left w:val="nil"/>
              <w:bottom w:val="nil"/>
              <w:right w:val="nil"/>
            </w:tcBorders>
            <w:shd w:val="clear" w:color="auto" w:fill="auto"/>
            <w:noWrap/>
            <w:vAlign w:val="bottom"/>
            <w:hideMark/>
          </w:tcPr>
          <w:p w14:paraId="31664F12" w14:textId="77777777" w:rsidR="006910F8" w:rsidRPr="006910F8" w:rsidRDefault="006910F8" w:rsidP="006910F8">
            <w:pPr>
              <w:rPr>
                <w:rFonts w:ascii="Calibri" w:hAnsi="Calibri"/>
                <w:color w:val="000000"/>
                <w:sz w:val="22"/>
                <w:szCs w:val="22"/>
                <w:lang w:val="es-ES"/>
              </w:rPr>
            </w:pPr>
          </w:p>
        </w:tc>
        <w:tc>
          <w:tcPr>
            <w:tcW w:w="960" w:type="dxa"/>
            <w:tcBorders>
              <w:top w:val="nil"/>
              <w:left w:val="nil"/>
              <w:bottom w:val="nil"/>
              <w:right w:val="nil"/>
            </w:tcBorders>
            <w:shd w:val="clear" w:color="auto" w:fill="auto"/>
            <w:noWrap/>
            <w:vAlign w:val="bottom"/>
            <w:hideMark/>
          </w:tcPr>
          <w:p w14:paraId="3CF42454" w14:textId="77777777" w:rsidR="006910F8" w:rsidRPr="006910F8" w:rsidRDefault="006910F8" w:rsidP="006910F8">
            <w:pPr>
              <w:rPr>
                <w:rFonts w:ascii="Calibri" w:hAnsi="Calibri"/>
                <w:color w:val="000000"/>
                <w:sz w:val="22"/>
                <w:szCs w:val="22"/>
                <w:lang w:val="es-ES"/>
              </w:rPr>
            </w:pPr>
          </w:p>
        </w:tc>
        <w:tc>
          <w:tcPr>
            <w:tcW w:w="960" w:type="dxa"/>
            <w:tcBorders>
              <w:top w:val="nil"/>
              <w:left w:val="nil"/>
              <w:bottom w:val="nil"/>
              <w:right w:val="nil"/>
            </w:tcBorders>
            <w:shd w:val="clear" w:color="auto" w:fill="auto"/>
            <w:noWrap/>
            <w:vAlign w:val="bottom"/>
            <w:hideMark/>
          </w:tcPr>
          <w:p w14:paraId="7D228C98" w14:textId="77777777" w:rsidR="006910F8" w:rsidRPr="006910F8" w:rsidRDefault="006910F8" w:rsidP="006910F8">
            <w:pPr>
              <w:rPr>
                <w:rFonts w:ascii="Calibri" w:hAnsi="Calibri"/>
                <w:color w:val="000000"/>
                <w:sz w:val="22"/>
                <w:szCs w:val="22"/>
                <w:lang w:val="es-ES"/>
              </w:rPr>
            </w:pPr>
          </w:p>
        </w:tc>
        <w:tc>
          <w:tcPr>
            <w:tcW w:w="960" w:type="dxa"/>
            <w:tcBorders>
              <w:top w:val="nil"/>
              <w:left w:val="nil"/>
              <w:bottom w:val="nil"/>
              <w:right w:val="nil"/>
            </w:tcBorders>
            <w:shd w:val="clear" w:color="auto" w:fill="auto"/>
            <w:noWrap/>
            <w:vAlign w:val="bottom"/>
            <w:hideMark/>
          </w:tcPr>
          <w:p w14:paraId="31789A81" w14:textId="77777777" w:rsidR="006910F8" w:rsidRPr="006910F8" w:rsidRDefault="006910F8" w:rsidP="006910F8">
            <w:pPr>
              <w:rPr>
                <w:rFonts w:ascii="Calibri" w:hAnsi="Calibri"/>
                <w:color w:val="000000"/>
                <w:sz w:val="22"/>
                <w:szCs w:val="22"/>
                <w:lang w:val="es-ES"/>
              </w:rPr>
            </w:pPr>
          </w:p>
        </w:tc>
        <w:tc>
          <w:tcPr>
            <w:tcW w:w="960" w:type="dxa"/>
            <w:tcBorders>
              <w:top w:val="nil"/>
              <w:left w:val="nil"/>
              <w:bottom w:val="nil"/>
              <w:right w:val="nil"/>
            </w:tcBorders>
            <w:shd w:val="clear" w:color="auto" w:fill="auto"/>
            <w:noWrap/>
            <w:vAlign w:val="bottom"/>
            <w:hideMark/>
          </w:tcPr>
          <w:p w14:paraId="7ACC274B" w14:textId="77777777" w:rsidR="006910F8" w:rsidRPr="006910F8" w:rsidRDefault="006910F8" w:rsidP="006910F8">
            <w:pPr>
              <w:rPr>
                <w:rFonts w:ascii="Calibri" w:hAnsi="Calibri"/>
                <w:color w:val="000000"/>
                <w:sz w:val="22"/>
                <w:szCs w:val="22"/>
                <w:lang w:val="es-ES"/>
              </w:rPr>
            </w:pPr>
          </w:p>
        </w:tc>
        <w:tc>
          <w:tcPr>
            <w:tcW w:w="960" w:type="dxa"/>
            <w:tcBorders>
              <w:top w:val="nil"/>
              <w:left w:val="nil"/>
              <w:bottom w:val="nil"/>
              <w:right w:val="nil"/>
            </w:tcBorders>
            <w:shd w:val="clear" w:color="auto" w:fill="auto"/>
            <w:noWrap/>
            <w:vAlign w:val="bottom"/>
            <w:hideMark/>
          </w:tcPr>
          <w:p w14:paraId="050C5FB0" w14:textId="77777777" w:rsidR="006910F8" w:rsidRPr="006910F8" w:rsidRDefault="006910F8" w:rsidP="006910F8">
            <w:pPr>
              <w:rPr>
                <w:rFonts w:ascii="Calibri" w:hAnsi="Calibri"/>
                <w:color w:val="000000"/>
                <w:sz w:val="22"/>
                <w:szCs w:val="22"/>
                <w:lang w:val="es-ES"/>
              </w:rPr>
            </w:pPr>
          </w:p>
        </w:tc>
      </w:tr>
      <w:tr w:rsidR="006910F8" w:rsidRPr="006910F8" w14:paraId="6629D967" w14:textId="77777777" w:rsidTr="00F95572">
        <w:trPr>
          <w:trHeight w:val="825"/>
        </w:trPr>
        <w:tc>
          <w:tcPr>
            <w:tcW w:w="2425" w:type="dxa"/>
            <w:tcBorders>
              <w:top w:val="single" w:sz="8" w:space="0" w:color="auto"/>
              <w:left w:val="nil"/>
              <w:bottom w:val="nil"/>
              <w:right w:val="nil"/>
            </w:tcBorders>
            <w:shd w:val="clear" w:color="auto" w:fill="auto"/>
            <w:vAlign w:val="center"/>
            <w:hideMark/>
          </w:tcPr>
          <w:p w14:paraId="3C4E10F6" w14:textId="77777777" w:rsidR="006910F8" w:rsidRPr="006910F8" w:rsidRDefault="006910F8" w:rsidP="006910F8">
            <w:pPr>
              <w:rPr>
                <w:b/>
                <w:bCs/>
                <w:i/>
                <w:iCs/>
                <w:color w:val="000000"/>
                <w:sz w:val="20"/>
                <w:lang w:val="es-ES"/>
              </w:rPr>
            </w:pPr>
            <w:proofErr w:type="spellStart"/>
            <w:r w:rsidRPr="006910F8">
              <w:rPr>
                <w:b/>
                <w:bCs/>
                <w:i/>
                <w:iCs/>
                <w:color w:val="000000"/>
                <w:sz w:val="20"/>
                <w:lang w:val="es-ES"/>
              </w:rPr>
              <w:t>Dependent</w:t>
            </w:r>
            <w:proofErr w:type="spellEnd"/>
            <w:r w:rsidRPr="006910F8">
              <w:rPr>
                <w:b/>
                <w:bCs/>
                <w:i/>
                <w:iCs/>
                <w:color w:val="000000"/>
                <w:sz w:val="20"/>
                <w:lang w:val="es-ES"/>
              </w:rPr>
              <w:t xml:space="preserve"> Variable</w:t>
            </w:r>
          </w:p>
        </w:tc>
        <w:tc>
          <w:tcPr>
            <w:tcW w:w="1775" w:type="dxa"/>
            <w:gridSpan w:val="2"/>
            <w:tcBorders>
              <w:top w:val="single" w:sz="8" w:space="0" w:color="auto"/>
              <w:left w:val="nil"/>
              <w:bottom w:val="single" w:sz="8" w:space="0" w:color="auto"/>
              <w:right w:val="nil"/>
            </w:tcBorders>
            <w:shd w:val="clear" w:color="auto" w:fill="auto"/>
            <w:vAlign w:val="center"/>
            <w:hideMark/>
          </w:tcPr>
          <w:p w14:paraId="19ED7620" w14:textId="77777777" w:rsidR="006910F8" w:rsidRPr="006910F8" w:rsidRDefault="006910F8" w:rsidP="006910F8">
            <w:pPr>
              <w:jc w:val="center"/>
              <w:rPr>
                <w:b/>
                <w:bCs/>
                <w:color w:val="000000"/>
                <w:sz w:val="18"/>
                <w:szCs w:val="18"/>
                <w:lang w:val="es-ES"/>
              </w:rPr>
            </w:pPr>
            <w:proofErr w:type="spellStart"/>
            <w:r w:rsidRPr="006910F8">
              <w:rPr>
                <w:b/>
                <w:bCs/>
                <w:color w:val="000000"/>
                <w:sz w:val="18"/>
                <w:szCs w:val="18"/>
                <w:lang w:val="es-ES"/>
              </w:rPr>
              <w:t>Model</w:t>
            </w:r>
            <w:proofErr w:type="spellEnd"/>
            <w:r w:rsidRPr="006910F8">
              <w:rPr>
                <w:b/>
                <w:bCs/>
                <w:color w:val="000000"/>
                <w:sz w:val="18"/>
                <w:szCs w:val="18"/>
                <w:lang w:val="es-ES"/>
              </w:rPr>
              <w:t xml:space="preserve"> 1</w:t>
            </w:r>
          </w:p>
        </w:tc>
        <w:tc>
          <w:tcPr>
            <w:tcW w:w="1920" w:type="dxa"/>
            <w:gridSpan w:val="2"/>
            <w:tcBorders>
              <w:top w:val="single" w:sz="8" w:space="0" w:color="auto"/>
              <w:left w:val="nil"/>
              <w:bottom w:val="single" w:sz="8" w:space="0" w:color="auto"/>
              <w:right w:val="nil"/>
            </w:tcBorders>
            <w:shd w:val="clear" w:color="auto" w:fill="auto"/>
            <w:vAlign w:val="center"/>
            <w:hideMark/>
          </w:tcPr>
          <w:p w14:paraId="45D96B69" w14:textId="77777777" w:rsidR="006910F8" w:rsidRPr="006910F8" w:rsidRDefault="006910F8" w:rsidP="006910F8">
            <w:pPr>
              <w:jc w:val="center"/>
              <w:rPr>
                <w:b/>
                <w:bCs/>
                <w:color w:val="000000"/>
                <w:sz w:val="18"/>
                <w:szCs w:val="18"/>
                <w:lang w:val="es-ES"/>
              </w:rPr>
            </w:pPr>
            <w:proofErr w:type="spellStart"/>
            <w:r w:rsidRPr="006910F8">
              <w:rPr>
                <w:b/>
                <w:bCs/>
                <w:color w:val="000000"/>
                <w:sz w:val="18"/>
                <w:szCs w:val="18"/>
                <w:lang w:val="es-ES"/>
              </w:rPr>
              <w:t>Model</w:t>
            </w:r>
            <w:proofErr w:type="spellEnd"/>
            <w:r w:rsidRPr="006910F8">
              <w:rPr>
                <w:b/>
                <w:bCs/>
                <w:color w:val="000000"/>
                <w:sz w:val="18"/>
                <w:szCs w:val="18"/>
                <w:lang w:val="es-ES"/>
              </w:rPr>
              <w:t xml:space="preserve"> 2</w:t>
            </w:r>
          </w:p>
        </w:tc>
        <w:tc>
          <w:tcPr>
            <w:tcW w:w="1920" w:type="dxa"/>
            <w:gridSpan w:val="2"/>
            <w:tcBorders>
              <w:top w:val="single" w:sz="8" w:space="0" w:color="auto"/>
              <w:left w:val="nil"/>
              <w:bottom w:val="single" w:sz="8" w:space="0" w:color="auto"/>
              <w:right w:val="nil"/>
            </w:tcBorders>
            <w:shd w:val="clear" w:color="auto" w:fill="auto"/>
            <w:vAlign w:val="center"/>
            <w:hideMark/>
          </w:tcPr>
          <w:p w14:paraId="40FA876B" w14:textId="77777777" w:rsidR="006910F8" w:rsidRPr="006910F8" w:rsidRDefault="006910F8" w:rsidP="006910F8">
            <w:pPr>
              <w:jc w:val="center"/>
              <w:rPr>
                <w:b/>
                <w:bCs/>
                <w:color w:val="000000"/>
                <w:sz w:val="18"/>
                <w:szCs w:val="18"/>
                <w:lang w:val="es-ES"/>
              </w:rPr>
            </w:pPr>
            <w:proofErr w:type="spellStart"/>
            <w:r w:rsidRPr="006910F8">
              <w:rPr>
                <w:b/>
                <w:bCs/>
                <w:color w:val="000000"/>
                <w:sz w:val="18"/>
                <w:szCs w:val="18"/>
                <w:lang w:val="es-ES"/>
              </w:rPr>
              <w:t>Model</w:t>
            </w:r>
            <w:proofErr w:type="spellEnd"/>
            <w:r w:rsidRPr="006910F8">
              <w:rPr>
                <w:b/>
                <w:bCs/>
                <w:color w:val="000000"/>
                <w:sz w:val="18"/>
                <w:szCs w:val="18"/>
                <w:lang w:val="es-ES"/>
              </w:rPr>
              <w:t xml:space="preserve"> 3</w:t>
            </w:r>
          </w:p>
        </w:tc>
      </w:tr>
      <w:tr w:rsidR="006910F8" w:rsidRPr="006910F8" w14:paraId="72E990BF" w14:textId="77777777" w:rsidTr="00F95572">
        <w:trPr>
          <w:cantSplit/>
          <w:trHeight w:val="975"/>
        </w:trPr>
        <w:tc>
          <w:tcPr>
            <w:tcW w:w="2425" w:type="dxa"/>
            <w:tcBorders>
              <w:top w:val="nil"/>
              <w:left w:val="nil"/>
              <w:bottom w:val="single" w:sz="8" w:space="0" w:color="auto"/>
              <w:right w:val="nil"/>
            </w:tcBorders>
            <w:shd w:val="clear" w:color="auto" w:fill="auto"/>
            <w:vAlign w:val="center"/>
            <w:hideMark/>
          </w:tcPr>
          <w:p w14:paraId="6E8633D5" w14:textId="10C52C11" w:rsidR="006910F8" w:rsidRPr="006910F8" w:rsidRDefault="006910F8" w:rsidP="006910F8">
            <w:pPr>
              <w:rPr>
                <w:b/>
                <w:bCs/>
                <w:color w:val="000000"/>
                <w:sz w:val="18"/>
                <w:szCs w:val="18"/>
                <w:lang w:val="es-ES"/>
              </w:rPr>
            </w:pPr>
            <w:proofErr w:type="spellStart"/>
            <w:r w:rsidRPr="006910F8">
              <w:rPr>
                <w:b/>
                <w:bCs/>
                <w:color w:val="000000"/>
                <w:sz w:val="18"/>
                <w:szCs w:val="18"/>
                <w:lang w:val="es-ES"/>
              </w:rPr>
              <w:t>Financial</w:t>
            </w:r>
            <w:proofErr w:type="spellEnd"/>
            <w:r w:rsidRPr="006910F8">
              <w:rPr>
                <w:b/>
                <w:bCs/>
                <w:color w:val="000000"/>
                <w:sz w:val="18"/>
                <w:szCs w:val="18"/>
                <w:lang w:val="es-ES"/>
              </w:rPr>
              <w:t xml:space="preserve"> Capital</w:t>
            </w:r>
          </w:p>
        </w:tc>
        <w:tc>
          <w:tcPr>
            <w:tcW w:w="815" w:type="dxa"/>
            <w:tcBorders>
              <w:top w:val="nil"/>
              <w:left w:val="nil"/>
              <w:bottom w:val="single" w:sz="8" w:space="0" w:color="auto"/>
              <w:right w:val="nil"/>
            </w:tcBorders>
            <w:shd w:val="clear" w:color="auto" w:fill="auto"/>
            <w:vAlign w:val="center"/>
            <w:hideMark/>
          </w:tcPr>
          <w:p w14:paraId="2D7F7667" w14:textId="77777777" w:rsidR="006910F8" w:rsidRPr="006910F8" w:rsidRDefault="006910F8" w:rsidP="006910F8">
            <w:pPr>
              <w:rPr>
                <w:b/>
                <w:bCs/>
                <w:color w:val="000000"/>
                <w:sz w:val="18"/>
                <w:szCs w:val="18"/>
                <w:lang w:val="es-ES"/>
              </w:rPr>
            </w:pPr>
            <w:r w:rsidRPr="006910F8">
              <w:rPr>
                <w:b/>
                <w:bCs/>
                <w:color w:val="000000"/>
                <w:sz w:val="18"/>
                <w:szCs w:val="18"/>
                <w:lang w:val="es-ES"/>
              </w:rPr>
              <w:t>Beta</w:t>
            </w:r>
          </w:p>
        </w:tc>
        <w:tc>
          <w:tcPr>
            <w:tcW w:w="960" w:type="dxa"/>
            <w:tcBorders>
              <w:top w:val="nil"/>
              <w:left w:val="nil"/>
              <w:bottom w:val="single" w:sz="8" w:space="0" w:color="auto"/>
              <w:right w:val="nil"/>
            </w:tcBorders>
            <w:shd w:val="clear" w:color="auto" w:fill="auto"/>
            <w:vAlign w:val="center"/>
            <w:hideMark/>
          </w:tcPr>
          <w:p w14:paraId="0DEE2935" w14:textId="77777777" w:rsidR="006910F8" w:rsidRPr="006910F8" w:rsidRDefault="006910F8" w:rsidP="006910F8">
            <w:pPr>
              <w:rPr>
                <w:b/>
                <w:bCs/>
                <w:i/>
                <w:iCs/>
                <w:color w:val="000000"/>
                <w:sz w:val="18"/>
                <w:szCs w:val="18"/>
                <w:lang w:val="es-ES"/>
              </w:rPr>
            </w:pPr>
            <w:r w:rsidRPr="006910F8">
              <w:rPr>
                <w:b/>
                <w:bCs/>
                <w:i/>
                <w:iCs/>
                <w:color w:val="000000"/>
                <w:sz w:val="18"/>
                <w:szCs w:val="18"/>
                <w:lang w:val="es-ES"/>
              </w:rPr>
              <w:t>s.e.</w:t>
            </w:r>
          </w:p>
        </w:tc>
        <w:tc>
          <w:tcPr>
            <w:tcW w:w="960" w:type="dxa"/>
            <w:tcBorders>
              <w:top w:val="nil"/>
              <w:left w:val="nil"/>
              <w:bottom w:val="single" w:sz="8" w:space="0" w:color="auto"/>
              <w:right w:val="nil"/>
            </w:tcBorders>
            <w:shd w:val="clear" w:color="auto" w:fill="auto"/>
            <w:vAlign w:val="center"/>
            <w:hideMark/>
          </w:tcPr>
          <w:p w14:paraId="04AF9D4A" w14:textId="77777777" w:rsidR="006910F8" w:rsidRPr="006910F8" w:rsidRDefault="006910F8" w:rsidP="006910F8">
            <w:pPr>
              <w:rPr>
                <w:b/>
                <w:bCs/>
                <w:color w:val="000000"/>
                <w:sz w:val="18"/>
                <w:szCs w:val="18"/>
                <w:lang w:val="es-ES"/>
              </w:rPr>
            </w:pPr>
            <w:r w:rsidRPr="006910F8">
              <w:rPr>
                <w:b/>
                <w:bCs/>
                <w:color w:val="000000"/>
                <w:sz w:val="18"/>
                <w:szCs w:val="18"/>
                <w:lang w:val="es-ES"/>
              </w:rPr>
              <w:t>Beta</w:t>
            </w:r>
          </w:p>
        </w:tc>
        <w:tc>
          <w:tcPr>
            <w:tcW w:w="960" w:type="dxa"/>
            <w:tcBorders>
              <w:top w:val="nil"/>
              <w:left w:val="nil"/>
              <w:bottom w:val="single" w:sz="8" w:space="0" w:color="auto"/>
              <w:right w:val="nil"/>
            </w:tcBorders>
            <w:shd w:val="clear" w:color="auto" w:fill="auto"/>
            <w:vAlign w:val="center"/>
            <w:hideMark/>
          </w:tcPr>
          <w:p w14:paraId="6031DADA" w14:textId="77777777" w:rsidR="006910F8" w:rsidRPr="006910F8" w:rsidRDefault="006910F8" w:rsidP="006910F8">
            <w:pPr>
              <w:rPr>
                <w:b/>
                <w:bCs/>
                <w:i/>
                <w:iCs/>
                <w:color w:val="000000"/>
                <w:sz w:val="18"/>
                <w:szCs w:val="18"/>
                <w:lang w:val="es-ES"/>
              </w:rPr>
            </w:pPr>
            <w:r w:rsidRPr="006910F8">
              <w:rPr>
                <w:b/>
                <w:bCs/>
                <w:i/>
                <w:iCs/>
                <w:color w:val="000000"/>
                <w:sz w:val="18"/>
                <w:szCs w:val="18"/>
                <w:lang w:val="es-ES"/>
              </w:rPr>
              <w:t>s.e.</w:t>
            </w:r>
          </w:p>
        </w:tc>
        <w:tc>
          <w:tcPr>
            <w:tcW w:w="960" w:type="dxa"/>
            <w:tcBorders>
              <w:top w:val="nil"/>
              <w:left w:val="nil"/>
              <w:bottom w:val="single" w:sz="8" w:space="0" w:color="auto"/>
              <w:right w:val="nil"/>
            </w:tcBorders>
            <w:shd w:val="clear" w:color="auto" w:fill="auto"/>
            <w:vAlign w:val="center"/>
            <w:hideMark/>
          </w:tcPr>
          <w:p w14:paraId="73A5B529" w14:textId="77777777" w:rsidR="006910F8" w:rsidRPr="006910F8" w:rsidRDefault="006910F8" w:rsidP="006910F8">
            <w:pPr>
              <w:rPr>
                <w:b/>
                <w:bCs/>
                <w:color w:val="000000"/>
                <w:sz w:val="18"/>
                <w:szCs w:val="18"/>
                <w:lang w:val="es-ES"/>
              </w:rPr>
            </w:pPr>
            <w:r w:rsidRPr="006910F8">
              <w:rPr>
                <w:b/>
                <w:bCs/>
                <w:color w:val="000000"/>
                <w:sz w:val="18"/>
                <w:szCs w:val="18"/>
                <w:lang w:val="es-ES"/>
              </w:rPr>
              <w:t>Beta</w:t>
            </w:r>
          </w:p>
        </w:tc>
        <w:tc>
          <w:tcPr>
            <w:tcW w:w="960" w:type="dxa"/>
            <w:tcBorders>
              <w:top w:val="nil"/>
              <w:left w:val="nil"/>
              <w:bottom w:val="single" w:sz="8" w:space="0" w:color="auto"/>
              <w:right w:val="nil"/>
            </w:tcBorders>
            <w:shd w:val="clear" w:color="auto" w:fill="auto"/>
            <w:vAlign w:val="center"/>
            <w:hideMark/>
          </w:tcPr>
          <w:p w14:paraId="3723C92D" w14:textId="77777777" w:rsidR="006910F8" w:rsidRPr="006910F8" w:rsidRDefault="006910F8" w:rsidP="006910F8">
            <w:pPr>
              <w:rPr>
                <w:b/>
                <w:bCs/>
                <w:i/>
                <w:iCs/>
                <w:color w:val="000000"/>
                <w:sz w:val="18"/>
                <w:szCs w:val="18"/>
                <w:lang w:val="es-ES"/>
              </w:rPr>
            </w:pPr>
            <w:r w:rsidRPr="006910F8">
              <w:rPr>
                <w:b/>
                <w:bCs/>
                <w:i/>
                <w:iCs/>
                <w:color w:val="000000"/>
                <w:sz w:val="18"/>
                <w:szCs w:val="18"/>
                <w:lang w:val="es-ES"/>
              </w:rPr>
              <w:t>s.e.</w:t>
            </w:r>
          </w:p>
        </w:tc>
      </w:tr>
      <w:tr w:rsidR="006910F8" w:rsidRPr="006910F8" w14:paraId="790A1D2B" w14:textId="77777777" w:rsidTr="00F95572">
        <w:trPr>
          <w:cantSplit/>
          <w:trHeight w:val="315"/>
        </w:trPr>
        <w:tc>
          <w:tcPr>
            <w:tcW w:w="2425" w:type="dxa"/>
            <w:tcBorders>
              <w:top w:val="nil"/>
              <w:left w:val="nil"/>
              <w:bottom w:val="nil"/>
              <w:right w:val="nil"/>
            </w:tcBorders>
            <w:shd w:val="clear" w:color="auto" w:fill="auto"/>
            <w:vAlign w:val="center"/>
            <w:hideMark/>
          </w:tcPr>
          <w:p w14:paraId="0562E195" w14:textId="77777777" w:rsidR="006910F8" w:rsidRPr="006910F8" w:rsidRDefault="006910F8" w:rsidP="006910F8">
            <w:pPr>
              <w:rPr>
                <w:color w:val="000000"/>
                <w:sz w:val="18"/>
                <w:szCs w:val="18"/>
                <w:lang w:val="es-ES"/>
              </w:rPr>
            </w:pPr>
            <w:proofErr w:type="spellStart"/>
            <w:r w:rsidRPr="006910F8">
              <w:rPr>
                <w:color w:val="000000"/>
                <w:sz w:val="18"/>
                <w:szCs w:val="18"/>
                <w:lang w:val="es-ES"/>
              </w:rPr>
              <w:t>Constant</w:t>
            </w:r>
            <w:proofErr w:type="spellEnd"/>
          </w:p>
        </w:tc>
        <w:tc>
          <w:tcPr>
            <w:tcW w:w="815" w:type="dxa"/>
            <w:tcBorders>
              <w:top w:val="nil"/>
              <w:left w:val="nil"/>
              <w:bottom w:val="nil"/>
              <w:right w:val="nil"/>
            </w:tcBorders>
            <w:shd w:val="clear" w:color="auto" w:fill="auto"/>
            <w:noWrap/>
            <w:vAlign w:val="center"/>
            <w:hideMark/>
          </w:tcPr>
          <w:p w14:paraId="3D74BDB6" w14:textId="77777777" w:rsidR="006910F8" w:rsidRPr="006910F8" w:rsidRDefault="006910F8" w:rsidP="006910F8">
            <w:pPr>
              <w:rPr>
                <w:color w:val="000000"/>
                <w:sz w:val="18"/>
                <w:szCs w:val="18"/>
                <w:lang w:val="es-ES"/>
              </w:rPr>
            </w:pPr>
            <w:r w:rsidRPr="006910F8">
              <w:rPr>
                <w:color w:val="000000"/>
                <w:sz w:val="18"/>
                <w:szCs w:val="18"/>
                <w:lang w:val="es-ES"/>
              </w:rPr>
              <w:t>3,933***</w:t>
            </w:r>
          </w:p>
        </w:tc>
        <w:tc>
          <w:tcPr>
            <w:tcW w:w="960" w:type="dxa"/>
            <w:tcBorders>
              <w:top w:val="nil"/>
              <w:left w:val="nil"/>
              <w:bottom w:val="nil"/>
              <w:right w:val="nil"/>
            </w:tcBorders>
            <w:shd w:val="clear" w:color="auto" w:fill="auto"/>
            <w:noWrap/>
            <w:vAlign w:val="center"/>
            <w:hideMark/>
          </w:tcPr>
          <w:p w14:paraId="429ECBE1" w14:textId="77777777" w:rsidR="006910F8" w:rsidRPr="006910F8" w:rsidRDefault="006910F8" w:rsidP="006910F8">
            <w:pPr>
              <w:rPr>
                <w:color w:val="000000"/>
                <w:sz w:val="18"/>
                <w:szCs w:val="18"/>
                <w:lang w:val="es-ES"/>
              </w:rPr>
            </w:pPr>
            <w:r w:rsidRPr="006910F8">
              <w:rPr>
                <w:color w:val="000000"/>
                <w:sz w:val="18"/>
                <w:szCs w:val="18"/>
                <w:lang w:val="es-ES"/>
              </w:rPr>
              <w:t>0,344</w:t>
            </w:r>
          </w:p>
        </w:tc>
        <w:tc>
          <w:tcPr>
            <w:tcW w:w="960" w:type="dxa"/>
            <w:tcBorders>
              <w:top w:val="nil"/>
              <w:left w:val="nil"/>
              <w:bottom w:val="nil"/>
              <w:right w:val="nil"/>
            </w:tcBorders>
            <w:shd w:val="clear" w:color="auto" w:fill="auto"/>
            <w:noWrap/>
            <w:vAlign w:val="center"/>
            <w:hideMark/>
          </w:tcPr>
          <w:p w14:paraId="61004BA1" w14:textId="77777777" w:rsidR="006910F8" w:rsidRPr="006910F8" w:rsidRDefault="006910F8" w:rsidP="006910F8">
            <w:pPr>
              <w:rPr>
                <w:color w:val="000000"/>
                <w:sz w:val="18"/>
                <w:szCs w:val="18"/>
                <w:lang w:val="es-ES"/>
              </w:rPr>
            </w:pPr>
            <w:r w:rsidRPr="006910F8">
              <w:rPr>
                <w:color w:val="000000"/>
                <w:sz w:val="18"/>
                <w:szCs w:val="18"/>
                <w:lang w:val="es-ES"/>
              </w:rPr>
              <w:t>4,974***</w:t>
            </w:r>
          </w:p>
        </w:tc>
        <w:tc>
          <w:tcPr>
            <w:tcW w:w="960" w:type="dxa"/>
            <w:tcBorders>
              <w:top w:val="nil"/>
              <w:left w:val="nil"/>
              <w:bottom w:val="nil"/>
              <w:right w:val="nil"/>
            </w:tcBorders>
            <w:shd w:val="clear" w:color="auto" w:fill="auto"/>
            <w:noWrap/>
            <w:vAlign w:val="center"/>
            <w:hideMark/>
          </w:tcPr>
          <w:p w14:paraId="636257F9" w14:textId="77777777" w:rsidR="006910F8" w:rsidRPr="006910F8" w:rsidRDefault="006910F8" w:rsidP="006910F8">
            <w:pPr>
              <w:rPr>
                <w:color w:val="000000"/>
                <w:sz w:val="18"/>
                <w:szCs w:val="18"/>
                <w:lang w:val="es-ES"/>
              </w:rPr>
            </w:pPr>
            <w:r w:rsidRPr="006910F8">
              <w:rPr>
                <w:color w:val="000000"/>
                <w:sz w:val="18"/>
                <w:szCs w:val="18"/>
                <w:lang w:val="es-ES"/>
              </w:rPr>
              <w:t>0,486</w:t>
            </w:r>
          </w:p>
        </w:tc>
        <w:tc>
          <w:tcPr>
            <w:tcW w:w="960" w:type="dxa"/>
            <w:tcBorders>
              <w:top w:val="nil"/>
              <w:left w:val="nil"/>
              <w:bottom w:val="nil"/>
              <w:right w:val="nil"/>
            </w:tcBorders>
            <w:shd w:val="clear" w:color="auto" w:fill="auto"/>
            <w:noWrap/>
            <w:vAlign w:val="center"/>
            <w:hideMark/>
          </w:tcPr>
          <w:p w14:paraId="4ED5C84B" w14:textId="77777777" w:rsidR="006910F8" w:rsidRPr="006910F8" w:rsidRDefault="006910F8" w:rsidP="006910F8">
            <w:pPr>
              <w:rPr>
                <w:color w:val="000000"/>
                <w:sz w:val="18"/>
                <w:szCs w:val="18"/>
                <w:lang w:val="es-ES"/>
              </w:rPr>
            </w:pPr>
            <w:r w:rsidRPr="006910F8">
              <w:rPr>
                <w:color w:val="000000"/>
                <w:sz w:val="18"/>
                <w:szCs w:val="18"/>
                <w:lang w:val="es-ES"/>
              </w:rPr>
              <w:t>4,536***</w:t>
            </w:r>
          </w:p>
        </w:tc>
        <w:tc>
          <w:tcPr>
            <w:tcW w:w="960" w:type="dxa"/>
            <w:tcBorders>
              <w:top w:val="nil"/>
              <w:left w:val="nil"/>
              <w:bottom w:val="nil"/>
              <w:right w:val="nil"/>
            </w:tcBorders>
            <w:shd w:val="clear" w:color="auto" w:fill="auto"/>
            <w:noWrap/>
            <w:vAlign w:val="center"/>
            <w:hideMark/>
          </w:tcPr>
          <w:p w14:paraId="7A71C11B" w14:textId="77777777" w:rsidR="006910F8" w:rsidRPr="006910F8" w:rsidRDefault="006910F8" w:rsidP="006910F8">
            <w:pPr>
              <w:rPr>
                <w:color w:val="000000"/>
                <w:sz w:val="18"/>
                <w:szCs w:val="18"/>
                <w:lang w:val="es-ES"/>
              </w:rPr>
            </w:pPr>
            <w:r w:rsidRPr="006910F8">
              <w:rPr>
                <w:color w:val="000000"/>
                <w:sz w:val="18"/>
                <w:szCs w:val="18"/>
                <w:lang w:val="es-ES"/>
              </w:rPr>
              <w:t>0,632</w:t>
            </w:r>
          </w:p>
        </w:tc>
      </w:tr>
      <w:tr w:rsidR="006910F8" w:rsidRPr="006910F8" w14:paraId="7F2F0088" w14:textId="77777777" w:rsidTr="00F95572">
        <w:trPr>
          <w:cantSplit/>
          <w:trHeight w:val="540"/>
        </w:trPr>
        <w:tc>
          <w:tcPr>
            <w:tcW w:w="2425" w:type="dxa"/>
            <w:tcBorders>
              <w:top w:val="nil"/>
              <w:left w:val="nil"/>
              <w:bottom w:val="nil"/>
              <w:right w:val="nil"/>
            </w:tcBorders>
            <w:shd w:val="clear" w:color="auto" w:fill="auto"/>
            <w:vAlign w:val="center"/>
            <w:hideMark/>
          </w:tcPr>
          <w:p w14:paraId="140DFE46" w14:textId="77777777" w:rsidR="006910F8" w:rsidRPr="006910F8" w:rsidRDefault="006910F8" w:rsidP="006910F8">
            <w:pPr>
              <w:rPr>
                <w:b/>
                <w:bCs/>
                <w:i/>
                <w:iCs/>
                <w:color w:val="000000"/>
                <w:sz w:val="20"/>
                <w:lang w:val="es-ES"/>
              </w:rPr>
            </w:pPr>
            <w:proofErr w:type="gramStart"/>
            <w:r w:rsidRPr="006910F8">
              <w:rPr>
                <w:b/>
                <w:bCs/>
                <w:i/>
                <w:iCs/>
                <w:color w:val="000000"/>
                <w:sz w:val="20"/>
                <w:lang w:val="es-ES"/>
              </w:rPr>
              <w:t>Control variables</w:t>
            </w:r>
            <w:proofErr w:type="gramEnd"/>
          </w:p>
        </w:tc>
        <w:tc>
          <w:tcPr>
            <w:tcW w:w="815" w:type="dxa"/>
            <w:tcBorders>
              <w:top w:val="nil"/>
              <w:left w:val="nil"/>
              <w:bottom w:val="nil"/>
              <w:right w:val="nil"/>
            </w:tcBorders>
            <w:shd w:val="clear" w:color="auto" w:fill="auto"/>
            <w:noWrap/>
            <w:vAlign w:val="center"/>
            <w:hideMark/>
          </w:tcPr>
          <w:p w14:paraId="77E07C72"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7A132A61"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4C4DCCF0"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5FBBFD36"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49EDDB48"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45022AC1" w14:textId="77777777" w:rsidR="006910F8" w:rsidRPr="006910F8" w:rsidRDefault="006910F8" w:rsidP="006910F8">
            <w:pPr>
              <w:rPr>
                <w:color w:val="000000"/>
                <w:sz w:val="18"/>
                <w:szCs w:val="18"/>
                <w:lang w:val="es-ES"/>
              </w:rPr>
            </w:pPr>
          </w:p>
        </w:tc>
      </w:tr>
      <w:tr w:rsidR="006910F8" w:rsidRPr="006910F8" w14:paraId="7850870B" w14:textId="77777777" w:rsidTr="00F95572">
        <w:trPr>
          <w:cantSplit/>
          <w:trHeight w:val="405"/>
        </w:trPr>
        <w:tc>
          <w:tcPr>
            <w:tcW w:w="2425" w:type="dxa"/>
            <w:tcBorders>
              <w:top w:val="nil"/>
              <w:left w:val="nil"/>
              <w:bottom w:val="nil"/>
              <w:right w:val="nil"/>
            </w:tcBorders>
            <w:shd w:val="clear" w:color="auto" w:fill="auto"/>
            <w:vAlign w:val="center"/>
            <w:hideMark/>
          </w:tcPr>
          <w:p w14:paraId="49345A1E" w14:textId="77777777" w:rsidR="006910F8" w:rsidRPr="006910F8" w:rsidRDefault="006910F8" w:rsidP="006910F8">
            <w:pPr>
              <w:rPr>
                <w:color w:val="000000"/>
                <w:sz w:val="18"/>
                <w:szCs w:val="18"/>
                <w:lang w:val="es-ES"/>
              </w:rPr>
            </w:pPr>
            <w:r w:rsidRPr="006910F8">
              <w:rPr>
                <w:color w:val="000000"/>
                <w:sz w:val="18"/>
                <w:szCs w:val="18"/>
                <w:lang w:val="es-ES"/>
              </w:rPr>
              <w:t>ALLIANCE EXPERIENCE</w:t>
            </w:r>
          </w:p>
        </w:tc>
        <w:tc>
          <w:tcPr>
            <w:tcW w:w="815" w:type="dxa"/>
            <w:tcBorders>
              <w:top w:val="nil"/>
              <w:left w:val="nil"/>
              <w:bottom w:val="nil"/>
              <w:right w:val="nil"/>
            </w:tcBorders>
            <w:shd w:val="clear" w:color="auto" w:fill="auto"/>
            <w:noWrap/>
            <w:vAlign w:val="center"/>
            <w:hideMark/>
          </w:tcPr>
          <w:p w14:paraId="7871FC59" w14:textId="77777777" w:rsidR="006910F8" w:rsidRPr="006910F8" w:rsidRDefault="006910F8" w:rsidP="006910F8">
            <w:pPr>
              <w:rPr>
                <w:color w:val="000000"/>
                <w:sz w:val="18"/>
                <w:szCs w:val="18"/>
                <w:lang w:val="es-ES"/>
              </w:rPr>
            </w:pPr>
            <w:r w:rsidRPr="006910F8">
              <w:rPr>
                <w:color w:val="000000"/>
                <w:sz w:val="18"/>
                <w:szCs w:val="18"/>
                <w:lang w:val="es-ES"/>
              </w:rPr>
              <w:t>-0,008</w:t>
            </w:r>
          </w:p>
        </w:tc>
        <w:tc>
          <w:tcPr>
            <w:tcW w:w="960" w:type="dxa"/>
            <w:tcBorders>
              <w:top w:val="nil"/>
              <w:left w:val="nil"/>
              <w:bottom w:val="nil"/>
              <w:right w:val="nil"/>
            </w:tcBorders>
            <w:shd w:val="clear" w:color="auto" w:fill="auto"/>
            <w:noWrap/>
            <w:vAlign w:val="center"/>
            <w:hideMark/>
          </w:tcPr>
          <w:p w14:paraId="47EADF2A" w14:textId="77777777" w:rsidR="006910F8" w:rsidRPr="006910F8" w:rsidRDefault="006910F8" w:rsidP="006910F8">
            <w:pPr>
              <w:rPr>
                <w:color w:val="000000"/>
                <w:sz w:val="18"/>
                <w:szCs w:val="18"/>
                <w:lang w:val="es-ES"/>
              </w:rPr>
            </w:pPr>
            <w:r w:rsidRPr="006910F8">
              <w:rPr>
                <w:color w:val="000000"/>
                <w:sz w:val="18"/>
                <w:szCs w:val="18"/>
                <w:lang w:val="es-ES"/>
              </w:rPr>
              <w:t>0,112</w:t>
            </w:r>
          </w:p>
        </w:tc>
        <w:tc>
          <w:tcPr>
            <w:tcW w:w="960" w:type="dxa"/>
            <w:tcBorders>
              <w:top w:val="nil"/>
              <w:left w:val="nil"/>
              <w:bottom w:val="nil"/>
              <w:right w:val="nil"/>
            </w:tcBorders>
            <w:shd w:val="clear" w:color="auto" w:fill="auto"/>
            <w:noWrap/>
            <w:vAlign w:val="center"/>
            <w:hideMark/>
          </w:tcPr>
          <w:p w14:paraId="18801944" w14:textId="77777777" w:rsidR="006910F8" w:rsidRPr="006910F8" w:rsidRDefault="006910F8" w:rsidP="006910F8">
            <w:pPr>
              <w:rPr>
                <w:color w:val="000000"/>
                <w:sz w:val="18"/>
                <w:szCs w:val="18"/>
                <w:lang w:val="es-ES"/>
              </w:rPr>
            </w:pPr>
            <w:r w:rsidRPr="006910F8">
              <w:rPr>
                <w:color w:val="000000"/>
                <w:sz w:val="18"/>
                <w:szCs w:val="18"/>
                <w:lang w:val="es-ES"/>
              </w:rPr>
              <w:t>0,017</w:t>
            </w:r>
          </w:p>
        </w:tc>
        <w:tc>
          <w:tcPr>
            <w:tcW w:w="960" w:type="dxa"/>
            <w:tcBorders>
              <w:top w:val="nil"/>
              <w:left w:val="nil"/>
              <w:bottom w:val="nil"/>
              <w:right w:val="nil"/>
            </w:tcBorders>
            <w:shd w:val="clear" w:color="auto" w:fill="auto"/>
            <w:noWrap/>
            <w:vAlign w:val="center"/>
            <w:hideMark/>
          </w:tcPr>
          <w:p w14:paraId="0555F25D" w14:textId="77777777" w:rsidR="006910F8" w:rsidRPr="006910F8" w:rsidRDefault="006910F8" w:rsidP="006910F8">
            <w:pPr>
              <w:rPr>
                <w:color w:val="000000"/>
                <w:sz w:val="18"/>
                <w:szCs w:val="18"/>
                <w:lang w:val="es-ES"/>
              </w:rPr>
            </w:pPr>
            <w:r w:rsidRPr="006910F8">
              <w:rPr>
                <w:color w:val="000000"/>
                <w:sz w:val="18"/>
                <w:szCs w:val="18"/>
                <w:lang w:val="es-ES"/>
              </w:rPr>
              <w:t>0,11</w:t>
            </w:r>
          </w:p>
        </w:tc>
        <w:tc>
          <w:tcPr>
            <w:tcW w:w="960" w:type="dxa"/>
            <w:tcBorders>
              <w:top w:val="nil"/>
              <w:left w:val="nil"/>
              <w:bottom w:val="nil"/>
              <w:right w:val="nil"/>
            </w:tcBorders>
            <w:shd w:val="clear" w:color="auto" w:fill="auto"/>
            <w:noWrap/>
            <w:vAlign w:val="center"/>
            <w:hideMark/>
          </w:tcPr>
          <w:p w14:paraId="4D3F9727" w14:textId="77777777" w:rsidR="006910F8" w:rsidRPr="006910F8" w:rsidRDefault="006910F8" w:rsidP="006910F8">
            <w:pPr>
              <w:rPr>
                <w:color w:val="000000"/>
                <w:sz w:val="18"/>
                <w:szCs w:val="18"/>
                <w:lang w:val="es-ES"/>
              </w:rPr>
            </w:pPr>
            <w:r w:rsidRPr="006910F8">
              <w:rPr>
                <w:color w:val="000000"/>
                <w:sz w:val="18"/>
                <w:szCs w:val="18"/>
                <w:lang w:val="es-ES"/>
              </w:rPr>
              <w:t>-0,069</w:t>
            </w:r>
          </w:p>
        </w:tc>
        <w:tc>
          <w:tcPr>
            <w:tcW w:w="960" w:type="dxa"/>
            <w:tcBorders>
              <w:top w:val="nil"/>
              <w:left w:val="nil"/>
              <w:bottom w:val="nil"/>
              <w:right w:val="nil"/>
            </w:tcBorders>
            <w:shd w:val="clear" w:color="auto" w:fill="auto"/>
            <w:noWrap/>
            <w:vAlign w:val="center"/>
            <w:hideMark/>
          </w:tcPr>
          <w:p w14:paraId="1B9683F1" w14:textId="77777777" w:rsidR="006910F8" w:rsidRPr="006910F8" w:rsidRDefault="006910F8" w:rsidP="006910F8">
            <w:pPr>
              <w:rPr>
                <w:color w:val="000000"/>
                <w:sz w:val="18"/>
                <w:szCs w:val="18"/>
                <w:lang w:val="es-ES"/>
              </w:rPr>
            </w:pPr>
            <w:r w:rsidRPr="006910F8">
              <w:rPr>
                <w:color w:val="000000"/>
                <w:sz w:val="18"/>
                <w:szCs w:val="18"/>
                <w:lang w:val="es-ES"/>
              </w:rPr>
              <w:t>0,109</w:t>
            </w:r>
          </w:p>
        </w:tc>
      </w:tr>
      <w:tr w:rsidR="006910F8" w:rsidRPr="006910F8" w14:paraId="5A0CB920" w14:textId="77777777" w:rsidTr="00F95572">
        <w:trPr>
          <w:cantSplit/>
          <w:trHeight w:val="315"/>
        </w:trPr>
        <w:tc>
          <w:tcPr>
            <w:tcW w:w="2425" w:type="dxa"/>
            <w:tcBorders>
              <w:top w:val="nil"/>
              <w:left w:val="nil"/>
              <w:bottom w:val="nil"/>
              <w:right w:val="nil"/>
            </w:tcBorders>
            <w:shd w:val="clear" w:color="auto" w:fill="auto"/>
            <w:vAlign w:val="center"/>
            <w:hideMark/>
          </w:tcPr>
          <w:p w14:paraId="4459B0AD" w14:textId="77777777" w:rsidR="006910F8" w:rsidRPr="006910F8" w:rsidRDefault="006910F8" w:rsidP="006910F8">
            <w:pPr>
              <w:rPr>
                <w:color w:val="000000"/>
                <w:sz w:val="18"/>
                <w:szCs w:val="18"/>
                <w:lang w:val="es-ES"/>
              </w:rPr>
            </w:pPr>
            <w:r w:rsidRPr="006910F8">
              <w:rPr>
                <w:color w:val="000000"/>
                <w:sz w:val="18"/>
                <w:szCs w:val="18"/>
                <w:lang w:val="es-ES"/>
              </w:rPr>
              <w:t>SLACK</w:t>
            </w:r>
          </w:p>
        </w:tc>
        <w:tc>
          <w:tcPr>
            <w:tcW w:w="815" w:type="dxa"/>
            <w:tcBorders>
              <w:top w:val="nil"/>
              <w:left w:val="nil"/>
              <w:bottom w:val="nil"/>
              <w:right w:val="nil"/>
            </w:tcBorders>
            <w:shd w:val="clear" w:color="auto" w:fill="auto"/>
            <w:noWrap/>
            <w:vAlign w:val="center"/>
            <w:hideMark/>
          </w:tcPr>
          <w:p w14:paraId="3FDBA41B" w14:textId="30661C14" w:rsidR="006910F8" w:rsidRPr="006910F8" w:rsidRDefault="006910F8" w:rsidP="006910F8">
            <w:pPr>
              <w:rPr>
                <w:color w:val="000000"/>
                <w:sz w:val="18"/>
                <w:szCs w:val="18"/>
                <w:lang w:val="es-ES"/>
              </w:rPr>
            </w:pPr>
            <w:r w:rsidRPr="006910F8">
              <w:rPr>
                <w:color w:val="000000"/>
                <w:sz w:val="18"/>
                <w:szCs w:val="18"/>
                <w:lang w:val="es-ES"/>
              </w:rPr>
              <w:t>0,152**</w:t>
            </w:r>
          </w:p>
        </w:tc>
        <w:tc>
          <w:tcPr>
            <w:tcW w:w="960" w:type="dxa"/>
            <w:tcBorders>
              <w:top w:val="nil"/>
              <w:left w:val="nil"/>
              <w:bottom w:val="nil"/>
              <w:right w:val="nil"/>
            </w:tcBorders>
            <w:shd w:val="clear" w:color="auto" w:fill="auto"/>
            <w:noWrap/>
            <w:vAlign w:val="center"/>
            <w:hideMark/>
          </w:tcPr>
          <w:p w14:paraId="68336FAE" w14:textId="77777777" w:rsidR="006910F8" w:rsidRPr="006910F8" w:rsidRDefault="006910F8" w:rsidP="006910F8">
            <w:pPr>
              <w:rPr>
                <w:color w:val="000000"/>
                <w:sz w:val="18"/>
                <w:szCs w:val="18"/>
                <w:lang w:val="es-ES"/>
              </w:rPr>
            </w:pPr>
            <w:r w:rsidRPr="006910F8">
              <w:rPr>
                <w:color w:val="000000"/>
                <w:sz w:val="18"/>
                <w:szCs w:val="18"/>
                <w:lang w:val="es-ES"/>
              </w:rPr>
              <w:t>0,052</w:t>
            </w:r>
          </w:p>
        </w:tc>
        <w:tc>
          <w:tcPr>
            <w:tcW w:w="960" w:type="dxa"/>
            <w:tcBorders>
              <w:top w:val="nil"/>
              <w:left w:val="nil"/>
              <w:bottom w:val="nil"/>
              <w:right w:val="nil"/>
            </w:tcBorders>
            <w:shd w:val="clear" w:color="auto" w:fill="auto"/>
            <w:noWrap/>
            <w:vAlign w:val="center"/>
            <w:hideMark/>
          </w:tcPr>
          <w:p w14:paraId="1850582E" w14:textId="584FE9C1" w:rsidR="006910F8" w:rsidRPr="006910F8" w:rsidRDefault="006910F8" w:rsidP="006910F8">
            <w:pPr>
              <w:rPr>
                <w:color w:val="000000"/>
                <w:sz w:val="18"/>
                <w:szCs w:val="18"/>
                <w:lang w:val="es-ES"/>
              </w:rPr>
            </w:pPr>
            <w:r w:rsidRPr="006910F8">
              <w:rPr>
                <w:color w:val="000000"/>
                <w:sz w:val="18"/>
                <w:szCs w:val="18"/>
                <w:lang w:val="es-ES"/>
              </w:rPr>
              <w:t>0,117*</w:t>
            </w:r>
          </w:p>
        </w:tc>
        <w:tc>
          <w:tcPr>
            <w:tcW w:w="960" w:type="dxa"/>
            <w:tcBorders>
              <w:top w:val="nil"/>
              <w:left w:val="nil"/>
              <w:bottom w:val="nil"/>
              <w:right w:val="nil"/>
            </w:tcBorders>
            <w:shd w:val="clear" w:color="auto" w:fill="auto"/>
            <w:noWrap/>
            <w:vAlign w:val="center"/>
            <w:hideMark/>
          </w:tcPr>
          <w:p w14:paraId="5D539AC0" w14:textId="77777777" w:rsidR="006910F8" w:rsidRPr="006910F8" w:rsidRDefault="006910F8" w:rsidP="006910F8">
            <w:pPr>
              <w:rPr>
                <w:color w:val="000000"/>
                <w:sz w:val="18"/>
                <w:szCs w:val="18"/>
                <w:lang w:val="es-ES"/>
              </w:rPr>
            </w:pPr>
            <w:r w:rsidRPr="006910F8">
              <w:rPr>
                <w:color w:val="000000"/>
                <w:sz w:val="18"/>
                <w:szCs w:val="18"/>
                <w:lang w:val="es-ES"/>
              </w:rPr>
              <w:t>0,051</w:t>
            </w:r>
          </w:p>
        </w:tc>
        <w:tc>
          <w:tcPr>
            <w:tcW w:w="960" w:type="dxa"/>
            <w:tcBorders>
              <w:top w:val="nil"/>
              <w:left w:val="nil"/>
              <w:bottom w:val="nil"/>
              <w:right w:val="nil"/>
            </w:tcBorders>
            <w:shd w:val="clear" w:color="auto" w:fill="auto"/>
            <w:noWrap/>
            <w:vAlign w:val="center"/>
            <w:hideMark/>
          </w:tcPr>
          <w:p w14:paraId="6B64A0DF" w14:textId="0CC77DB0" w:rsidR="006910F8" w:rsidRPr="006910F8" w:rsidRDefault="006910F8" w:rsidP="006910F8">
            <w:pPr>
              <w:rPr>
                <w:color w:val="000000"/>
                <w:sz w:val="18"/>
                <w:szCs w:val="18"/>
                <w:lang w:val="es-ES"/>
              </w:rPr>
            </w:pPr>
            <w:r w:rsidRPr="006910F8">
              <w:rPr>
                <w:color w:val="000000"/>
                <w:sz w:val="18"/>
                <w:szCs w:val="18"/>
                <w:lang w:val="es-ES"/>
              </w:rPr>
              <w:t>0,127*</w:t>
            </w:r>
          </w:p>
        </w:tc>
        <w:tc>
          <w:tcPr>
            <w:tcW w:w="960" w:type="dxa"/>
            <w:tcBorders>
              <w:top w:val="nil"/>
              <w:left w:val="nil"/>
              <w:bottom w:val="nil"/>
              <w:right w:val="nil"/>
            </w:tcBorders>
            <w:shd w:val="clear" w:color="auto" w:fill="auto"/>
            <w:noWrap/>
            <w:vAlign w:val="center"/>
            <w:hideMark/>
          </w:tcPr>
          <w:p w14:paraId="0E7C8526" w14:textId="77777777" w:rsidR="006910F8" w:rsidRPr="006910F8" w:rsidRDefault="006910F8" w:rsidP="006910F8">
            <w:pPr>
              <w:rPr>
                <w:color w:val="000000"/>
                <w:sz w:val="18"/>
                <w:szCs w:val="18"/>
                <w:lang w:val="es-ES"/>
              </w:rPr>
            </w:pPr>
            <w:r w:rsidRPr="006910F8">
              <w:rPr>
                <w:color w:val="000000"/>
                <w:sz w:val="18"/>
                <w:szCs w:val="18"/>
                <w:lang w:val="es-ES"/>
              </w:rPr>
              <w:t>0,05</w:t>
            </w:r>
          </w:p>
        </w:tc>
      </w:tr>
      <w:tr w:rsidR="006910F8" w:rsidRPr="006910F8" w14:paraId="7EAB23E4" w14:textId="77777777" w:rsidTr="00F95572">
        <w:trPr>
          <w:cantSplit/>
          <w:trHeight w:val="480"/>
        </w:trPr>
        <w:tc>
          <w:tcPr>
            <w:tcW w:w="2425" w:type="dxa"/>
            <w:tcBorders>
              <w:top w:val="nil"/>
              <w:left w:val="nil"/>
              <w:bottom w:val="nil"/>
              <w:right w:val="nil"/>
            </w:tcBorders>
            <w:shd w:val="clear" w:color="auto" w:fill="auto"/>
            <w:vAlign w:val="center"/>
            <w:hideMark/>
          </w:tcPr>
          <w:p w14:paraId="3526F4EA" w14:textId="77777777" w:rsidR="006910F8" w:rsidRPr="006910F8" w:rsidRDefault="006910F8" w:rsidP="006910F8">
            <w:pPr>
              <w:rPr>
                <w:color w:val="000000"/>
                <w:sz w:val="18"/>
                <w:szCs w:val="18"/>
                <w:lang w:val="es-ES"/>
              </w:rPr>
            </w:pPr>
            <w:r w:rsidRPr="006910F8">
              <w:rPr>
                <w:color w:val="000000"/>
                <w:sz w:val="18"/>
                <w:szCs w:val="18"/>
                <w:lang w:val="es-ES"/>
              </w:rPr>
              <w:t>FIRM SIZE</w:t>
            </w:r>
          </w:p>
        </w:tc>
        <w:tc>
          <w:tcPr>
            <w:tcW w:w="815" w:type="dxa"/>
            <w:tcBorders>
              <w:top w:val="nil"/>
              <w:left w:val="nil"/>
              <w:bottom w:val="nil"/>
              <w:right w:val="nil"/>
            </w:tcBorders>
            <w:shd w:val="clear" w:color="auto" w:fill="auto"/>
            <w:noWrap/>
            <w:vAlign w:val="center"/>
            <w:hideMark/>
          </w:tcPr>
          <w:p w14:paraId="328E8B40" w14:textId="77777777" w:rsidR="006910F8" w:rsidRPr="006910F8" w:rsidRDefault="006910F8" w:rsidP="006910F8">
            <w:pPr>
              <w:rPr>
                <w:color w:val="000000"/>
                <w:sz w:val="18"/>
                <w:szCs w:val="18"/>
                <w:lang w:val="es-ES"/>
              </w:rPr>
            </w:pPr>
            <w:r w:rsidRPr="006910F8">
              <w:rPr>
                <w:color w:val="000000"/>
                <w:sz w:val="18"/>
                <w:szCs w:val="18"/>
                <w:lang w:val="es-ES"/>
              </w:rPr>
              <w:t>0,033*</w:t>
            </w:r>
          </w:p>
        </w:tc>
        <w:tc>
          <w:tcPr>
            <w:tcW w:w="960" w:type="dxa"/>
            <w:tcBorders>
              <w:top w:val="nil"/>
              <w:left w:val="nil"/>
              <w:bottom w:val="nil"/>
              <w:right w:val="nil"/>
            </w:tcBorders>
            <w:shd w:val="clear" w:color="auto" w:fill="auto"/>
            <w:noWrap/>
            <w:vAlign w:val="center"/>
            <w:hideMark/>
          </w:tcPr>
          <w:p w14:paraId="2180F2B7" w14:textId="77777777" w:rsidR="006910F8" w:rsidRPr="006910F8" w:rsidRDefault="006910F8" w:rsidP="006910F8">
            <w:pPr>
              <w:rPr>
                <w:color w:val="000000"/>
                <w:sz w:val="18"/>
                <w:szCs w:val="18"/>
                <w:lang w:val="es-ES"/>
              </w:rPr>
            </w:pPr>
            <w:r w:rsidRPr="006910F8">
              <w:rPr>
                <w:color w:val="000000"/>
                <w:sz w:val="18"/>
                <w:szCs w:val="18"/>
                <w:lang w:val="es-ES"/>
              </w:rPr>
              <w:t>0,039</w:t>
            </w:r>
          </w:p>
        </w:tc>
        <w:tc>
          <w:tcPr>
            <w:tcW w:w="960" w:type="dxa"/>
            <w:tcBorders>
              <w:top w:val="nil"/>
              <w:left w:val="nil"/>
              <w:bottom w:val="nil"/>
              <w:right w:val="nil"/>
            </w:tcBorders>
            <w:shd w:val="clear" w:color="auto" w:fill="auto"/>
            <w:noWrap/>
            <w:vAlign w:val="center"/>
            <w:hideMark/>
          </w:tcPr>
          <w:p w14:paraId="6AEC0F80" w14:textId="77777777" w:rsidR="006910F8" w:rsidRPr="006910F8" w:rsidRDefault="006910F8" w:rsidP="006910F8">
            <w:pPr>
              <w:rPr>
                <w:color w:val="000000"/>
                <w:sz w:val="18"/>
                <w:szCs w:val="18"/>
                <w:lang w:val="es-ES"/>
              </w:rPr>
            </w:pPr>
            <w:r w:rsidRPr="006910F8">
              <w:rPr>
                <w:color w:val="000000"/>
                <w:sz w:val="18"/>
                <w:szCs w:val="18"/>
                <w:lang w:val="es-ES"/>
              </w:rPr>
              <w:t>0,132**</w:t>
            </w:r>
          </w:p>
        </w:tc>
        <w:tc>
          <w:tcPr>
            <w:tcW w:w="960" w:type="dxa"/>
            <w:tcBorders>
              <w:top w:val="nil"/>
              <w:left w:val="nil"/>
              <w:bottom w:val="nil"/>
              <w:right w:val="nil"/>
            </w:tcBorders>
            <w:shd w:val="clear" w:color="auto" w:fill="auto"/>
            <w:noWrap/>
            <w:vAlign w:val="center"/>
            <w:hideMark/>
          </w:tcPr>
          <w:p w14:paraId="7D1B841A" w14:textId="77777777" w:rsidR="006910F8" w:rsidRPr="006910F8" w:rsidRDefault="006910F8" w:rsidP="006910F8">
            <w:pPr>
              <w:rPr>
                <w:color w:val="000000"/>
                <w:sz w:val="18"/>
                <w:szCs w:val="18"/>
                <w:lang w:val="es-ES"/>
              </w:rPr>
            </w:pPr>
            <w:r w:rsidRPr="006910F8">
              <w:rPr>
                <w:color w:val="000000"/>
                <w:sz w:val="18"/>
                <w:szCs w:val="18"/>
                <w:lang w:val="es-ES"/>
              </w:rPr>
              <w:t>0,044</w:t>
            </w:r>
          </w:p>
        </w:tc>
        <w:tc>
          <w:tcPr>
            <w:tcW w:w="960" w:type="dxa"/>
            <w:tcBorders>
              <w:top w:val="nil"/>
              <w:left w:val="nil"/>
              <w:bottom w:val="nil"/>
              <w:right w:val="nil"/>
            </w:tcBorders>
            <w:shd w:val="clear" w:color="auto" w:fill="auto"/>
            <w:noWrap/>
            <w:vAlign w:val="center"/>
            <w:hideMark/>
          </w:tcPr>
          <w:p w14:paraId="23A7DB26" w14:textId="77777777" w:rsidR="006910F8" w:rsidRPr="006910F8" w:rsidRDefault="006910F8" w:rsidP="006910F8">
            <w:pPr>
              <w:rPr>
                <w:color w:val="000000"/>
                <w:sz w:val="18"/>
                <w:szCs w:val="18"/>
                <w:lang w:val="es-ES"/>
              </w:rPr>
            </w:pPr>
            <w:r w:rsidRPr="006910F8">
              <w:rPr>
                <w:color w:val="000000"/>
                <w:sz w:val="18"/>
                <w:szCs w:val="18"/>
                <w:lang w:val="es-ES"/>
              </w:rPr>
              <w:t>0,142**</w:t>
            </w:r>
          </w:p>
        </w:tc>
        <w:tc>
          <w:tcPr>
            <w:tcW w:w="960" w:type="dxa"/>
            <w:tcBorders>
              <w:top w:val="nil"/>
              <w:left w:val="nil"/>
              <w:bottom w:val="nil"/>
              <w:right w:val="nil"/>
            </w:tcBorders>
            <w:shd w:val="clear" w:color="auto" w:fill="auto"/>
            <w:noWrap/>
            <w:vAlign w:val="center"/>
            <w:hideMark/>
          </w:tcPr>
          <w:p w14:paraId="798F0476" w14:textId="77777777" w:rsidR="006910F8" w:rsidRPr="006910F8" w:rsidRDefault="006910F8" w:rsidP="006910F8">
            <w:pPr>
              <w:rPr>
                <w:color w:val="000000"/>
                <w:sz w:val="18"/>
                <w:szCs w:val="18"/>
                <w:lang w:val="es-ES"/>
              </w:rPr>
            </w:pPr>
            <w:r w:rsidRPr="006910F8">
              <w:rPr>
                <w:color w:val="000000"/>
                <w:sz w:val="18"/>
                <w:szCs w:val="18"/>
                <w:lang w:val="es-ES"/>
              </w:rPr>
              <w:t>0,043</w:t>
            </w:r>
          </w:p>
        </w:tc>
      </w:tr>
      <w:tr w:rsidR="006910F8" w:rsidRPr="006910F8" w14:paraId="6397A2AC" w14:textId="77777777" w:rsidTr="00F95572">
        <w:trPr>
          <w:cantSplit/>
          <w:trHeight w:val="300"/>
        </w:trPr>
        <w:tc>
          <w:tcPr>
            <w:tcW w:w="2425" w:type="dxa"/>
            <w:tcBorders>
              <w:top w:val="nil"/>
              <w:left w:val="nil"/>
              <w:bottom w:val="nil"/>
              <w:right w:val="nil"/>
            </w:tcBorders>
            <w:shd w:val="clear" w:color="auto" w:fill="auto"/>
            <w:vAlign w:val="center"/>
            <w:hideMark/>
          </w:tcPr>
          <w:p w14:paraId="068CD9CB" w14:textId="77777777" w:rsidR="006910F8" w:rsidRPr="006910F8" w:rsidRDefault="006910F8" w:rsidP="006910F8">
            <w:pPr>
              <w:rPr>
                <w:color w:val="000000"/>
                <w:sz w:val="18"/>
                <w:szCs w:val="18"/>
                <w:lang w:val="es-ES"/>
              </w:rPr>
            </w:pPr>
          </w:p>
        </w:tc>
        <w:tc>
          <w:tcPr>
            <w:tcW w:w="815" w:type="dxa"/>
            <w:tcBorders>
              <w:top w:val="nil"/>
              <w:left w:val="nil"/>
              <w:bottom w:val="nil"/>
              <w:right w:val="nil"/>
            </w:tcBorders>
            <w:shd w:val="clear" w:color="auto" w:fill="auto"/>
            <w:noWrap/>
            <w:vAlign w:val="center"/>
            <w:hideMark/>
          </w:tcPr>
          <w:p w14:paraId="648BECE1"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670B4D0D"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3797D958"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5779D4D7"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77E72E11"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7ADF4CF1" w14:textId="77777777" w:rsidR="006910F8" w:rsidRPr="006910F8" w:rsidRDefault="006910F8" w:rsidP="006910F8">
            <w:pPr>
              <w:rPr>
                <w:color w:val="000000"/>
                <w:sz w:val="18"/>
                <w:szCs w:val="18"/>
                <w:lang w:val="es-ES"/>
              </w:rPr>
            </w:pPr>
          </w:p>
        </w:tc>
      </w:tr>
      <w:tr w:rsidR="006910F8" w:rsidRPr="006910F8" w14:paraId="0395A200" w14:textId="77777777" w:rsidTr="00F95572">
        <w:trPr>
          <w:cantSplit/>
          <w:trHeight w:val="810"/>
        </w:trPr>
        <w:tc>
          <w:tcPr>
            <w:tcW w:w="2425" w:type="dxa"/>
            <w:tcBorders>
              <w:top w:val="nil"/>
              <w:left w:val="nil"/>
              <w:bottom w:val="nil"/>
              <w:right w:val="nil"/>
            </w:tcBorders>
            <w:shd w:val="clear" w:color="auto" w:fill="auto"/>
            <w:vAlign w:val="center"/>
            <w:hideMark/>
          </w:tcPr>
          <w:p w14:paraId="4B489AB1" w14:textId="77777777" w:rsidR="006910F8" w:rsidRPr="006910F8" w:rsidRDefault="006910F8" w:rsidP="006910F8">
            <w:pPr>
              <w:rPr>
                <w:b/>
                <w:bCs/>
                <w:i/>
                <w:iCs/>
                <w:color w:val="000000"/>
                <w:sz w:val="20"/>
                <w:lang w:val="es-ES"/>
              </w:rPr>
            </w:pPr>
            <w:proofErr w:type="spellStart"/>
            <w:r w:rsidRPr="006910F8">
              <w:rPr>
                <w:b/>
                <w:bCs/>
                <w:i/>
                <w:iCs/>
                <w:color w:val="000000"/>
                <w:sz w:val="20"/>
                <w:lang w:val="es-ES"/>
              </w:rPr>
              <w:t>Independent</w:t>
            </w:r>
            <w:proofErr w:type="spellEnd"/>
            <w:r w:rsidRPr="006910F8">
              <w:rPr>
                <w:b/>
                <w:bCs/>
                <w:i/>
                <w:iCs/>
                <w:color w:val="000000"/>
                <w:sz w:val="20"/>
                <w:lang w:val="es-ES"/>
              </w:rPr>
              <w:t xml:space="preserve"> Variables</w:t>
            </w:r>
          </w:p>
        </w:tc>
        <w:tc>
          <w:tcPr>
            <w:tcW w:w="815" w:type="dxa"/>
            <w:tcBorders>
              <w:top w:val="nil"/>
              <w:left w:val="nil"/>
              <w:bottom w:val="nil"/>
              <w:right w:val="nil"/>
            </w:tcBorders>
            <w:shd w:val="clear" w:color="auto" w:fill="auto"/>
            <w:noWrap/>
            <w:vAlign w:val="center"/>
            <w:hideMark/>
          </w:tcPr>
          <w:p w14:paraId="3B635BF5"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6DCB8FCE"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3558CED1"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2B0300DE"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2D450F6E"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4D6DAD13" w14:textId="77777777" w:rsidR="006910F8" w:rsidRPr="006910F8" w:rsidRDefault="006910F8" w:rsidP="006910F8">
            <w:pPr>
              <w:rPr>
                <w:color w:val="000000"/>
                <w:sz w:val="18"/>
                <w:szCs w:val="18"/>
                <w:lang w:val="es-ES"/>
              </w:rPr>
            </w:pPr>
          </w:p>
        </w:tc>
      </w:tr>
      <w:tr w:rsidR="006910F8" w:rsidRPr="006910F8" w14:paraId="3E75683E" w14:textId="77777777" w:rsidTr="00F95572">
        <w:trPr>
          <w:cantSplit/>
          <w:trHeight w:val="300"/>
        </w:trPr>
        <w:tc>
          <w:tcPr>
            <w:tcW w:w="2425" w:type="dxa"/>
            <w:tcBorders>
              <w:top w:val="nil"/>
              <w:left w:val="nil"/>
              <w:bottom w:val="nil"/>
              <w:right w:val="nil"/>
            </w:tcBorders>
            <w:shd w:val="clear" w:color="auto" w:fill="auto"/>
            <w:vAlign w:val="center"/>
            <w:hideMark/>
          </w:tcPr>
          <w:p w14:paraId="1E74834A" w14:textId="77777777" w:rsidR="006910F8" w:rsidRPr="006910F8" w:rsidRDefault="006910F8" w:rsidP="006910F8">
            <w:pPr>
              <w:rPr>
                <w:color w:val="000000"/>
                <w:sz w:val="18"/>
                <w:szCs w:val="18"/>
                <w:lang w:val="es-ES"/>
              </w:rPr>
            </w:pPr>
            <w:r w:rsidRPr="006910F8">
              <w:rPr>
                <w:color w:val="000000"/>
                <w:sz w:val="18"/>
                <w:szCs w:val="18"/>
                <w:lang w:val="es-ES"/>
              </w:rPr>
              <w:t>DEPTH</w:t>
            </w:r>
          </w:p>
        </w:tc>
        <w:tc>
          <w:tcPr>
            <w:tcW w:w="815" w:type="dxa"/>
            <w:tcBorders>
              <w:top w:val="nil"/>
              <w:left w:val="nil"/>
              <w:bottom w:val="nil"/>
              <w:right w:val="nil"/>
            </w:tcBorders>
            <w:shd w:val="clear" w:color="auto" w:fill="auto"/>
            <w:noWrap/>
            <w:vAlign w:val="center"/>
            <w:hideMark/>
          </w:tcPr>
          <w:p w14:paraId="76DD6494"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26687289"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0FFEB37C" w14:textId="77777777" w:rsidR="006910F8" w:rsidRPr="006910F8" w:rsidRDefault="006910F8" w:rsidP="006910F8">
            <w:pPr>
              <w:rPr>
                <w:color w:val="000000"/>
                <w:sz w:val="18"/>
                <w:szCs w:val="18"/>
                <w:lang w:val="es-ES"/>
              </w:rPr>
            </w:pPr>
            <w:r w:rsidRPr="006910F8">
              <w:rPr>
                <w:color w:val="000000"/>
                <w:sz w:val="18"/>
                <w:szCs w:val="18"/>
                <w:lang w:val="es-ES"/>
              </w:rPr>
              <w:t>0,425*</w:t>
            </w:r>
          </w:p>
        </w:tc>
        <w:tc>
          <w:tcPr>
            <w:tcW w:w="960" w:type="dxa"/>
            <w:tcBorders>
              <w:top w:val="nil"/>
              <w:left w:val="nil"/>
              <w:bottom w:val="nil"/>
              <w:right w:val="nil"/>
            </w:tcBorders>
            <w:shd w:val="clear" w:color="auto" w:fill="auto"/>
            <w:noWrap/>
            <w:vAlign w:val="center"/>
            <w:hideMark/>
          </w:tcPr>
          <w:p w14:paraId="39385AFD" w14:textId="77777777" w:rsidR="006910F8" w:rsidRPr="006910F8" w:rsidRDefault="006910F8" w:rsidP="006910F8">
            <w:pPr>
              <w:rPr>
                <w:color w:val="000000"/>
                <w:sz w:val="18"/>
                <w:szCs w:val="18"/>
                <w:lang w:val="es-ES"/>
              </w:rPr>
            </w:pPr>
            <w:r w:rsidRPr="006910F8">
              <w:rPr>
                <w:color w:val="000000"/>
                <w:sz w:val="18"/>
                <w:szCs w:val="18"/>
                <w:lang w:val="es-ES"/>
              </w:rPr>
              <w:t>0,171</w:t>
            </w:r>
          </w:p>
        </w:tc>
        <w:tc>
          <w:tcPr>
            <w:tcW w:w="960" w:type="dxa"/>
            <w:tcBorders>
              <w:top w:val="nil"/>
              <w:left w:val="nil"/>
              <w:bottom w:val="nil"/>
              <w:right w:val="nil"/>
            </w:tcBorders>
            <w:shd w:val="clear" w:color="auto" w:fill="auto"/>
            <w:noWrap/>
            <w:vAlign w:val="center"/>
            <w:hideMark/>
          </w:tcPr>
          <w:p w14:paraId="42076591" w14:textId="77777777" w:rsidR="006910F8" w:rsidRPr="006910F8" w:rsidRDefault="006910F8" w:rsidP="006910F8">
            <w:pPr>
              <w:rPr>
                <w:color w:val="000000"/>
                <w:sz w:val="18"/>
                <w:szCs w:val="18"/>
                <w:lang w:val="es-ES"/>
              </w:rPr>
            </w:pPr>
            <w:r w:rsidRPr="006910F8">
              <w:rPr>
                <w:color w:val="000000"/>
                <w:sz w:val="18"/>
                <w:szCs w:val="18"/>
                <w:lang w:val="es-ES"/>
              </w:rPr>
              <w:t>-0,182</w:t>
            </w:r>
          </w:p>
        </w:tc>
        <w:tc>
          <w:tcPr>
            <w:tcW w:w="960" w:type="dxa"/>
            <w:tcBorders>
              <w:top w:val="nil"/>
              <w:left w:val="nil"/>
              <w:bottom w:val="nil"/>
              <w:right w:val="nil"/>
            </w:tcBorders>
            <w:shd w:val="clear" w:color="auto" w:fill="auto"/>
            <w:noWrap/>
            <w:vAlign w:val="center"/>
            <w:hideMark/>
          </w:tcPr>
          <w:p w14:paraId="30D0345C" w14:textId="77777777" w:rsidR="006910F8" w:rsidRPr="006910F8" w:rsidRDefault="006910F8" w:rsidP="006910F8">
            <w:pPr>
              <w:rPr>
                <w:color w:val="000000"/>
                <w:sz w:val="18"/>
                <w:szCs w:val="18"/>
                <w:lang w:val="es-ES"/>
              </w:rPr>
            </w:pPr>
            <w:r w:rsidRPr="006910F8">
              <w:rPr>
                <w:color w:val="000000"/>
                <w:sz w:val="18"/>
                <w:szCs w:val="18"/>
                <w:lang w:val="es-ES"/>
              </w:rPr>
              <w:t>0,314</w:t>
            </w:r>
          </w:p>
        </w:tc>
      </w:tr>
      <w:tr w:rsidR="006910F8" w:rsidRPr="006910F8" w14:paraId="1EDC897A" w14:textId="77777777" w:rsidTr="00F95572">
        <w:trPr>
          <w:cantSplit/>
          <w:trHeight w:val="480"/>
        </w:trPr>
        <w:tc>
          <w:tcPr>
            <w:tcW w:w="2425" w:type="dxa"/>
            <w:tcBorders>
              <w:top w:val="nil"/>
              <w:left w:val="nil"/>
              <w:bottom w:val="nil"/>
              <w:right w:val="nil"/>
            </w:tcBorders>
            <w:shd w:val="clear" w:color="auto" w:fill="auto"/>
            <w:vAlign w:val="center"/>
            <w:hideMark/>
          </w:tcPr>
          <w:p w14:paraId="392CDC8E" w14:textId="77777777" w:rsidR="006910F8" w:rsidRPr="006910F8" w:rsidRDefault="006910F8" w:rsidP="006910F8">
            <w:pPr>
              <w:rPr>
                <w:color w:val="000000"/>
                <w:sz w:val="18"/>
                <w:szCs w:val="18"/>
                <w:lang w:val="es-ES"/>
              </w:rPr>
            </w:pPr>
            <w:r w:rsidRPr="006910F8">
              <w:rPr>
                <w:color w:val="000000"/>
                <w:sz w:val="18"/>
                <w:szCs w:val="18"/>
                <w:lang w:val="es-ES"/>
              </w:rPr>
              <w:t>BREADTH</w:t>
            </w:r>
          </w:p>
        </w:tc>
        <w:tc>
          <w:tcPr>
            <w:tcW w:w="815" w:type="dxa"/>
            <w:tcBorders>
              <w:top w:val="nil"/>
              <w:left w:val="nil"/>
              <w:bottom w:val="nil"/>
              <w:right w:val="nil"/>
            </w:tcBorders>
            <w:shd w:val="clear" w:color="auto" w:fill="auto"/>
            <w:noWrap/>
            <w:vAlign w:val="center"/>
            <w:hideMark/>
          </w:tcPr>
          <w:p w14:paraId="0915F8C0"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2AF483F7"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017766A3" w14:textId="77777777" w:rsidR="006910F8" w:rsidRPr="006910F8" w:rsidRDefault="006910F8" w:rsidP="006910F8">
            <w:pPr>
              <w:rPr>
                <w:color w:val="000000"/>
                <w:sz w:val="18"/>
                <w:szCs w:val="18"/>
                <w:lang w:val="es-ES"/>
              </w:rPr>
            </w:pPr>
            <w:r w:rsidRPr="006910F8">
              <w:rPr>
                <w:color w:val="000000"/>
                <w:sz w:val="18"/>
                <w:szCs w:val="18"/>
                <w:lang w:val="es-ES"/>
              </w:rPr>
              <w:t>-0,376**</w:t>
            </w:r>
          </w:p>
        </w:tc>
        <w:tc>
          <w:tcPr>
            <w:tcW w:w="960" w:type="dxa"/>
            <w:tcBorders>
              <w:top w:val="nil"/>
              <w:left w:val="nil"/>
              <w:bottom w:val="nil"/>
              <w:right w:val="nil"/>
            </w:tcBorders>
            <w:shd w:val="clear" w:color="auto" w:fill="auto"/>
            <w:noWrap/>
            <w:vAlign w:val="center"/>
            <w:hideMark/>
          </w:tcPr>
          <w:p w14:paraId="5CA92EC4" w14:textId="77777777" w:rsidR="006910F8" w:rsidRPr="006910F8" w:rsidRDefault="006910F8" w:rsidP="006910F8">
            <w:pPr>
              <w:rPr>
                <w:color w:val="000000"/>
                <w:sz w:val="18"/>
                <w:szCs w:val="18"/>
                <w:lang w:val="es-ES"/>
              </w:rPr>
            </w:pPr>
            <w:r w:rsidRPr="006910F8">
              <w:rPr>
                <w:color w:val="000000"/>
                <w:sz w:val="18"/>
                <w:szCs w:val="18"/>
                <w:lang w:val="es-ES"/>
              </w:rPr>
              <w:t>0,14</w:t>
            </w:r>
          </w:p>
        </w:tc>
        <w:tc>
          <w:tcPr>
            <w:tcW w:w="960" w:type="dxa"/>
            <w:tcBorders>
              <w:top w:val="nil"/>
              <w:left w:val="nil"/>
              <w:bottom w:val="nil"/>
              <w:right w:val="nil"/>
            </w:tcBorders>
            <w:shd w:val="clear" w:color="auto" w:fill="auto"/>
            <w:noWrap/>
            <w:vAlign w:val="center"/>
            <w:hideMark/>
          </w:tcPr>
          <w:p w14:paraId="6173EDD8" w14:textId="77777777" w:rsidR="006910F8" w:rsidRPr="006910F8" w:rsidRDefault="006910F8" w:rsidP="006910F8">
            <w:pPr>
              <w:rPr>
                <w:color w:val="000000"/>
                <w:sz w:val="18"/>
                <w:szCs w:val="18"/>
                <w:lang w:val="es-ES"/>
              </w:rPr>
            </w:pPr>
            <w:r w:rsidRPr="006910F8">
              <w:rPr>
                <w:color w:val="000000"/>
                <w:sz w:val="18"/>
                <w:szCs w:val="18"/>
                <w:lang w:val="es-ES"/>
              </w:rPr>
              <w:t>-0,781***</w:t>
            </w:r>
          </w:p>
        </w:tc>
        <w:tc>
          <w:tcPr>
            <w:tcW w:w="960" w:type="dxa"/>
            <w:tcBorders>
              <w:top w:val="nil"/>
              <w:left w:val="nil"/>
              <w:bottom w:val="nil"/>
              <w:right w:val="nil"/>
            </w:tcBorders>
            <w:shd w:val="clear" w:color="auto" w:fill="auto"/>
            <w:noWrap/>
            <w:vAlign w:val="center"/>
            <w:hideMark/>
          </w:tcPr>
          <w:p w14:paraId="37785834" w14:textId="77777777" w:rsidR="006910F8" w:rsidRPr="006910F8" w:rsidRDefault="006910F8" w:rsidP="006910F8">
            <w:pPr>
              <w:rPr>
                <w:color w:val="000000"/>
                <w:sz w:val="18"/>
                <w:szCs w:val="18"/>
                <w:lang w:val="es-ES"/>
              </w:rPr>
            </w:pPr>
            <w:r w:rsidRPr="006910F8">
              <w:rPr>
                <w:color w:val="000000"/>
                <w:sz w:val="18"/>
                <w:szCs w:val="18"/>
                <w:lang w:val="es-ES"/>
              </w:rPr>
              <w:t>0,169</w:t>
            </w:r>
          </w:p>
        </w:tc>
      </w:tr>
      <w:tr w:rsidR="006910F8" w:rsidRPr="006910F8" w14:paraId="160DD5E2" w14:textId="77777777" w:rsidTr="00F95572">
        <w:trPr>
          <w:cantSplit/>
          <w:trHeight w:val="480"/>
        </w:trPr>
        <w:tc>
          <w:tcPr>
            <w:tcW w:w="2425" w:type="dxa"/>
            <w:tcBorders>
              <w:top w:val="nil"/>
              <w:left w:val="nil"/>
              <w:bottom w:val="nil"/>
              <w:right w:val="nil"/>
            </w:tcBorders>
            <w:shd w:val="clear" w:color="auto" w:fill="auto"/>
            <w:vAlign w:val="center"/>
            <w:hideMark/>
          </w:tcPr>
          <w:p w14:paraId="0D92C4D8" w14:textId="77777777" w:rsidR="006910F8" w:rsidRPr="006910F8" w:rsidRDefault="006910F8" w:rsidP="006910F8">
            <w:pPr>
              <w:rPr>
                <w:color w:val="000000"/>
                <w:sz w:val="18"/>
                <w:szCs w:val="18"/>
                <w:lang w:val="es-ES"/>
              </w:rPr>
            </w:pPr>
            <w:r w:rsidRPr="006910F8">
              <w:rPr>
                <w:color w:val="000000"/>
                <w:sz w:val="18"/>
                <w:szCs w:val="18"/>
                <w:lang w:val="es-ES"/>
              </w:rPr>
              <w:t>STAGE</w:t>
            </w:r>
          </w:p>
        </w:tc>
        <w:tc>
          <w:tcPr>
            <w:tcW w:w="815" w:type="dxa"/>
            <w:tcBorders>
              <w:top w:val="nil"/>
              <w:left w:val="nil"/>
              <w:bottom w:val="nil"/>
              <w:right w:val="nil"/>
            </w:tcBorders>
            <w:shd w:val="clear" w:color="auto" w:fill="auto"/>
            <w:noWrap/>
            <w:vAlign w:val="center"/>
            <w:hideMark/>
          </w:tcPr>
          <w:p w14:paraId="52965CCC"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6D72DF24"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6AE74A88" w14:textId="77777777" w:rsidR="006910F8" w:rsidRPr="006910F8" w:rsidRDefault="006910F8" w:rsidP="006910F8">
            <w:pPr>
              <w:rPr>
                <w:color w:val="000000"/>
                <w:sz w:val="18"/>
                <w:szCs w:val="18"/>
                <w:lang w:val="es-ES"/>
              </w:rPr>
            </w:pPr>
            <w:r w:rsidRPr="006910F8">
              <w:rPr>
                <w:color w:val="000000"/>
                <w:sz w:val="18"/>
                <w:szCs w:val="18"/>
                <w:lang w:val="es-ES"/>
              </w:rPr>
              <w:t>0,061*</w:t>
            </w:r>
          </w:p>
        </w:tc>
        <w:tc>
          <w:tcPr>
            <w:tcW w:w="960" w:type="dxa"/>
            <w:tcBorders>
              <w:top w:val="nil"/>
              <w:left w:val="nil"/>
              <w:bottom w:val="nil"/>
              <w:right w:val="nil"/>
            </w:tcBorders>
            <w:shd w:val="clear" w:color="auto" w:fill="auto"/>
            <w:noWrap/>
            <w:vAlign w:val="center"/>
            <w:hideMark/>
          </w:tcPr>
          <w:p w14:paraId="4623372C" w14:textId="77777777" w:rsidR="006910F8" w:rsidRPr="006910F8" w:rsidRDefault="006910F8" w:rsidP="006910F8">
            <w:pPr>
              <w:rPr>
                <w:color w:val="000000"/>
                <w:sz w:val="18"/>
                <w:szCs w:val="18"/>
                <w:lang w:val="es-ES"/>
              </w:rPr>
            </w:pPr>
            <w:r w:rsidRPr="006910F8">
              <w:rPr>
                <w:color w:val="000000"/>
                <w:sz w:val="18"/>
                <w:szCs w:val="18"/>
                <w:lang w:val="es-ES"/>
              </w:rPr>
              <w:t>0,028</w:t>
            </w:r>
          </w:p>
        </w:tc>
        <w:tc>
          <w:tcPr>
            <w:tcW w:w="960" w:type="dxa"/>
            <w:tcBorders>
              <w:top w:val="nil"/>
              <w:left w:val="nil"/>
              <w:bottom w:val="nil"/>
              <w:right w:val="nil"/>
            </w:tcBorders>
            <w:shd w:val="clear" w:color="auto" w:fill="auto"/>
            <w:noWrap/>
            <w:vAlign w:val="center"/>
            <w:hideMark/>
          </w:tcPr>
          <w:p w14:paraId="50085EE3" w14:textId="77777777" w:rsidR="006910F8" w:rsidRPr="006910F8" w:rsidRDefault="006910F8" w:rsidP="006910F8">
            <w:pPr>
              <w:rPr>
                <w:color w:val="000000"/>
                <w:sz w:val="18"/>
                <w:szCs w:val="18"/>
                <w:lang w:val="es-ES"/>
              </w:rPr>
            </w:pPr>
            <w:r w:rsidRPr="006910F8">
              <w:rPr>
                <w:color w:val="000000"/>
                <w:sz w:val="18"/>
                <w:szCs w:val="18"/>
                <w:lang w:val="es-ES"/>
              </w:rPr>
              <w:t>0,161 +</w:t>
            </w:r>
          </w:p>
        </w:tc>
        <w:tc>
          <w:tcPr>
            <w:tcW w:w="960" w:type="dxa"/>
            <w:tcBorders>
              <w:top w:val="nil"/>
              <w:left w:val="nil"/>
              <w:bottom w:val="nil"/>
              <w:right w:val="nil"/>
            </w:tcBorders>
            <w:shd w:val="clear" w:color="auto" w:fill="auto"/>
            <w:noWrap/>
            <w:vAlign w:val="center"/>
            <w:hideMark/>
          </w:tcPr>
          <w:p w14:paraId="6C2D0460" w14:textId="77777777" w:rsidR="006910F8" w:rsidRPr="006910F8" w:rsidRDefault="006910F8" w:rsidP="006910F8">
            <w:pPr>
              <w:rPr>
                <w:color w:val="000000"/>
                <w:sz w:val="18"/>
                <w:szCs w:val="18"/>
                <w:lang w:val="es-ES"/>
              </w:rPr>
            </w:pPr>
            <w:r w:rsidRPr="006910F8">
              <w:rPr>
                <w:color w:val="000000"/>
                <w:sz w:val="18"/>
                <w:szCs w:val="18"/>
                <w:lang w:val="es-ES"/>
              </w:rPr>
              <w:t>0,09</w:t>
            </w:r>
          </w:p>
        </w:tc>
      </w:tr>
      <w:tr w:rsidR="006910F8" w:rsidRPr="006910F8" w14:paraId="716D3828" w14:textId="77777777" w:rsidTr="00F95572">
        <w:trPr>
          <w:cantSplit/>
          <w:trHeight w:val="300"/>
        </w:trPr>
        <w:tc>
          <w:tcPr>
            <w:tcW w:w="2425" w:type="dxa"/>
            <w:tcBorders>
              <w:top w:val="nil"/>
              <w:left w:val="nil"/>
              <w:bottom w:val="nil"/>
              <w:right w:val="nil"/>
            </w:tcBorders>
            <w:shd w:val="clear" w:color="auto" w:fill="auto"/>
            <w:vAlign w:val="center"/>
            <w:hideMark/>
          </w:tcPr>
          <w:p w14:paraId="2BD2EE15" w14:textId="77777777" w:rsidR="006910F8" w:rsidRPr="006910F8" w:rsidRDefault="006910F8" w:rsidP="006910F8">
            <w:pPr>
              <w:rPr>
                <w:color w:val="000000"/>
                <w:sz w:val="18"/>
                <w:szCs w:val="18"/>
                <w:lang w:val="es-ES"/>
              </w:rPr>
            </w:pPr>
            <w:proofErr w:type="spellStart"/>
            <w:r w:rsidRPr="006910F8">
              <w:rPr>
                <w:color w:val="000000"/>
                <w:sz w:val="18"/>
                <w:szCs w:val="18"/>
                <w:lang w:val="es-ES"/>
              </w:rPr>
              <w:t>EquitySt</w:t>
            </w:r>
            <w:proofErr w:type="spellEnd"/>
          </w:p>
        </w:tc>
        <w:tc>
          <w:tcPr>
            <w:tcW w:w="815" w:type="dxa"/>
            <w:tcBorders>
              <w:top w:val="nil"/>
              <w:left w:val="nil"/>
              <w:bottom w:val="nil"/>
              <w:right w:val="nil"/>
            </w:tcBorders>
            <w:shd w:val="clear" w:color="auto" w:fill="auto"/>
            <w:noWrap/>
            <w:vAlign w:val="center"/>
            <w:hideMark/>
          </w:tcPr>
          <w:p w14:paraId="56047132"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037775A4"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18E8CC54" w14:textId="77777777" w:rsidR="006910F8" w:rsidRPr="006910F8" w:rsidRDefault="006910F8" w:rsidP="006910F8">
            <w:pPr>
              <w:rPr>
                <w:color w:val="000000"/>
                <w:sz w:val="18"/>
                <w:szCs w:val="18"/>
                <w:lang w:val="es-ES"/>
              </w:rPr>
            </w:pPr>
            <w:r w:rsidRPr="006910F8">
              <w:rPr>
                <w:color w:val="000000"/>
                <w:sz w:val="18"/>
                <w:szCs w:val="18"/>
                <w:lang w:val="es-ES"/>
              </w:rPr>
              <w:t>0,687*</w:t>
            </w:r>
          </w:p>
        </w:tc>
        <w:tc>
          <w:tcPr>
            <w:tcW w:w="960" w:type="dxa"/>
            <w:tcBorders>
              <w:top w:val="nil"/>
              <w:left w:val="nil"/>
              <w:bottom w:val="nil"/>
              <w:right w:val="nil"/>
            </w:tcBorders>
            <w:shd w:val="clear" w:color="auto" w:fill="auto"/>
            <w:noWrap/>
            <w:vAlign w:val="center"/>
            <w:hideMark/>
          </w:tcPr>
          <w:p w14:paraId="35F36B63" w14:textId="77777777" w:rsidR="006910F8" w:rsidRPr="006910F8" w:rsidRDefault="006910F8" w:rsidP="006910F8">
            <w:pPr>
              <w:rPr>
                <w:color w:val="000000"/>
                <w:sz w:val="18"/>
                <w:szCs w:val="18"/>
                <w:lang w:val="es-ES"/>
              </w:rPr>
            </w:pPr>
            <w:r w:rsidRPr="006910F8">
              <w:rPr>
                <w:color w:val="000000"/>
                <w:sz w:val="18"/>
                <w:szCs w:val="18"/>
                <w:lang w:val="es-ES"/>
              </w:rPr>
              <w:t>0,291</w:t>
            </w:r>
          </w:p>
        </w:tc>
        <w:tc>
          <w:tcPr>
            <w:tcW w:w="960" w:type="dxa"/>
            <w:tcBorders>
              <w:top w:val="nil"/>
              <w:left w:val="nil"/>
              <w:bottom w:val="nil"/>
              <w:right w:val="nil"/>
            </w:tcBorders>
            <w:shd w:val="clear" w:color="auto" w:fill="auto"/>
            <w:noWrap/>
            <w:vAlign w:val="center"/>
            <w:hideMark/>
          </w:tcPr>
          <w:p w14:paraId="566B89A2" w14:textId="77777777" w:rsidR="006910F8" w:rsidRPr="006910F8" w:rsidRDefault="006910F8" w:rsidP="006910F8">
            <w:pPr>
              <w:rPr>
                <w:color w:val="000000"/>
                <w:sz w:val="18"/>
                <w:szCs w:val="18"/>
                <w:lang w:val="es-ES"/>
              </w:rPr>
            </w:pPr>
            <w:r w:rsidRPr="006910F8">
              <w:rPr>
                <w:color w:val="000000"/>
                <w:sz w:val="18"/>
                <w:szCs w:val="18"/>
                <w:lang w:val="es-ES"/>
              </w:rPr>
              <w:t>1,364</w:t>
            </w:r>
          </w:p>
        </w:tc>
        <w:tc>
          <w:tcPr>
            <w:tcW w:w="960" w:type="dxa"/>
            <w:tcBorders>
              <w:top w:val="nil"/>
              <w:left w:val="nil"/>
              <w:bottom w:val="nil"/>
              <w:right w:val="nil"/>
            </w:tcBorders>
            <w:shd w:val="clear" w:color="auto" w:fill="auto"/>
            <w:noWrap/>
            <w:vAlign w:val="center"/>
            <w:hideMark/>
          </w:tcPr>
          <w:p w14:paraId="768BEF6E" w14:textId="77777777" w:rsidR="006910F8" w:rsidRPr="006910F8" w:rsidRDefault="006910F8" w:rsidP="006910F8">
            <w:pPr>
              <w:rPr>
                <w:color w:val="000000"/>
                <w:sz w:val="18"/>
                <w:szCs w:val="18"/>
                <w:lang w:val="es-ES"/>
              </w:rPr>
            </w:pPr>
            <w:r w:rsidRPr="006910F8">
              <w:rPr>
                <w:color w:val="000000"/>
                <w:sz w:val="18"/>
                <w:szCs w:val="18"/>
                <w:lang w:val="es-ES"/>
              </w:rPr>
              <w:t>1,169</w:t>
            </w:r>
          </w:p>
        </w:tc>
      </w:tr>
      <w:tr w:rsidR="006910F8" w:rsidRPr="006910F8" w14:paraId="5DDC2A0F" w14:textId="77777777" w:rsidTr="00F95572">
        <w:trPr>
          <w:cantSplit/>
          <w:trHeight w:val="540"/>
        </w:trPr>
        <w:tc>
          <w:tcPr>
            <w:tcW w:w="2425" w:type="dxa"/>
            <w:tcBorders>
              <w:top w:val="nil"/>
              <w:left w:val="nil"/>
              <w:bottom w:val="nil"/>
              <w:right w:val="nil"/>
            </w:tcBorders>
            <w:shd w:val="clear" w:color="auto" w:fill="auto"/>
            <w:vAlign w:val="center"/>
            <w:hideMark/>
          </w:tcPr>
          <w:p w14:paraId="061057A3" w14:textId="77777777" w:rsidR="006910F8" w:rsidRPr="006910F8" w:rsidRDefault="006910F8" w:rsidP="006910F8">
            <w:pPr>
              <w:rPr>
                <w:b/>
                <w:bCs/>
                <w:i/>
                <w:iCs/>
                <w:color w:val="000000"/>
                <w:sz w:val="20"/>
                <w:lang w:val="es-ES"/>
              </w:rPr>
            </w:pPr>
            <w:proofErr w:type="spellStart"/>
            <w:r w:rsidRPr="006910F8">
              <w:rPr>
                <w:b/>
                <w:bCs/>
                <w:i/>
                <w:iCs/>
                <w:color w:val="000000"/>
                <w:sz w:val="20"/>
                <w:lang w:val="es-ES"/>
              </w:rPr>
              <w:t>Interactions</w:t>
            </w:r>
            <w:proofErr w:type="spellEnd"/>
          </w:p>
        </w:tc>
        <w:tc>
          <w:tcPr>
            <w:tcW w:w="815" w:type="dxa"/>
            <w:tcBorders>
              <w:top w:val="nil"/>
              <w:left w:val="nil"/>
              <w:bottom w:val="nil"/>
              <w:right w:val="nil"/>
            </w:tcBorders>
            <w:shd w:val="clear" w:color="auto" w:fill="auto"/>
            <w:noWrap/>
            <w:vAlign w:val="center"/>
            <w:hideMark/>
          </w:tcPr>
          <w:p w14:paraId="3BFEBA7E"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3645490B"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1B0FF999"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4EE72AD0"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15624B4D" w14:textId="77777777" w:rsidR="006910F8" w:rsidRPr="006910F8" w:rsidRDefault="006910F8"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76EF855D" w14:textId="77777777" w:rsidR="006910F8" w:rsidRPr="006910F8" w:rsidRDefault="006910F8" w:rsidP="006910F8">
            <w:pPr>
              <w:rPr>
                <w:color w:val="000000"/>
                <w:sz w:val="18"/>
                <w:szCs w:val="18"/>
                <w:lang w:val="es-ES"/>
              </w:rPr>
            </w:pPr>
          </w:p>
        </w:tc>
      </w:tr>
      <w:tr w:rsidR="00F95572" w:rsidRPr="006910F8" w14:paraId="335F1A54" w14:textId="77777777" w:rsidTr="00F95572">
        <w:trPr>
          <w:cantSplit/>
          <w:trHeight w:val="480"/>
        </w:trPr>
        <w:tc>
          <w:tcPr>
            <w:tcW w:w="2425" w:type="dxa"/>
            <w:tcBorders>
              <w:top w:val="nil"/>
              <w:left w:val="nil"/>
              <w:bottom w:val="nil"/>
              <w:right w:val="nil"/>
            </w:tcBorders>
            <w:shd w:val="clear" w:color="auto" w:fill="auto"/>
            <w:vAlign w:val="center"/>
            <w:hideMark/>
          </w:tcPr>
          <w:p w14:paraId="6246633B" w14:textId="77777777" w:rsidR="00F95572" w:rsidRPr="006910F8" w:rsidRDefault="00F95572" w:rsidP="006910F8">
            <w:pPr>
              <w:rPr>
                <w:color w:val="000000"/>
                <w:sz w:val="18"/>
                <w:szCs w:val="18"/>
                <w:lang w:val="es-ES"/>
              </w:rPr>
            </w:pPr>
            <w:r w:rsidRPr="006910F8">
              <w:rPr>
                <w:color w:val="000000"/>
                <w:sz w:val="18"/>
                <w:szCs w:val="18"/>
                <w:lang w:val="es-ES"/>
              </w:rPr>
              <w:t>DEPTH x STAGE</w:t>
            </w:r>
          </w:p>
        </w:tc>
        <w:tc>
          <w:tcPr>
            <w:tcW w:w="815" w:type="dxa"/>
            <w:tcBorders>
              <w:top w:val="nil"/>
              <w:left w:val="nil"/>
              <w:bottom w:val="nil"/>
              <w:right w:val="nil"/>
            </w:tcBorders>
            <w:shd w:val="clear" w:color="auto" w:fill="auto"/>
            <w:noWrap/>
            <w:vAlign w:val="center"/>
            <w:hideMark/>
          </w:tcPr>
          <w:p w14:paraId="4159A9D9" w14:textId="77777777" w:rsidR="00F95572" w:rsidRPr="006910F8" w:rsidRDefault="00F95572"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27D5B463" w14:textId="77777777" w:rsidR="00F95572" w:rsidRPr="006910F8" w:rsidRDefault="00F95572" w:rsidP="006910F8">
            <w:pPr>
              <w:rPr>
                <w:color w:val="000000"/>
                <w:sz w:val="18"/>
                <w:szCs w:val="18"/>
                <w:lang w:val="es-ES"/>
              </w:rPr>
            </w:pPr>
          </w:p>
        </w:tc>
        <w:tc>
          <w:tcPr>
            <w:tcW w:w="960" w:type="dxa"/>
            <w:tcBorders>
              <w:top w:val="nil"/>
              <w:left w:val="nil"/>
              <w:bottom w:val="nil"/>
              <w:right w:val="nil"/>
            </w:tcBorders>
            <w:shd w:val="clear" w:color="auto" w:fill="auto"/>
            <w:noWrap/>
            <w:vAlign w:val="center"/>
          </w:tcPr>
          <w:p w14:paraId="4C76098A" w14:textId="4CFEF241" w:rsidR="00F95572" w:rsidRPr="006910F8" w:rsidRDefault="00F95572" w:rsidP="006910F8">
            <w:pPr>
              <w:rPr>
                <w:color w:val="000000"/>
                <w:sz w:val="18"/>
                <w:szCs w:val="18"/>
                <w:lang w:val="es-ES"/>
              </w:rPr>
            </w:pPr>
          </w:p>
        </w:tc>
        <w:tc>
          <w:tcPr>
            <w:tcW w:w="960" w:type="dxa"/>
            <w:tcBorders>
              <w:top w:val="nil"/>
              <w:left w:val="nil"/>
              <w:bottom w:val="nil"/>
              <w:right w:val="nil"/>
            </w:tcBorders>
            <w:shd w:val="clear" w:color="auto" w:fill="auto"/>
            <w:noWrap/>
            <w:vAlign w:val="center"/>
          </w:tcPr>
          <w:p w14:paraId="6758C939" w14:textId="21762890" w:rsidR="00F95572" w:rsidRPr="006910F8" w:rsidRDefault="00F95572" w:rsidP="006910F8">
            <w:pPr>
              <w:rPr>
                <w:color w:val="000000"/>
                <w:sz w:val="18"/>
                <w:szCs w:val="18"/>
                <w:lang w:val="es-ES"/>
              </w:rPr>
            </w:pPr>
          </w:p>
        </w:tc>
        <w:tc>
          <w:tcPr>
            <w:tcW w:w="960" w:type="dxa"/>
            <w:tcBorders>
              <w:top w:val="nil"/>
              <w:left w:val="nil"/>
              <w:bottom w:val="nil"/>
              <w:right w:val="nil"/>
            </w:tcBorders>
            <w:shd w:val="clear" w:color="auto" w:fill="auto"/>
            <w:noWrap/>
            <w:vAlign w:val="center"/>
          </w:tcPr>
          <w:p w14:paraId="542C8498" w14:textId="512D4DDD" w:rsidR="00F95572" w:rsidRPr="006910F8" w:rsidRDefault="00F95572" w:rsidP="006910F8">
            <w:pPr>
              <w:rPr>
                <w:color w:val="000000"/>
                <w:sz w:val="18"/>
                <w:szCs w:val="18"/>
                <w:lang w:val="es-ES"/>
              </w:rPr>
            </w:pPr>
            <w:r w:rsidRPr="006910F8">
              <w:rPr>
                <w:color w:val="000000"/>
                <w:sz w:val="18"/>
                <w:szCs w:val="18"/>
                <w:lang w:val="es-ES"/>
              </w:rPr>
              <w:t>0,108*</w:t>
            </w:r>
          </w:p>
        </w:tc>
        <w:tc>
          <w:tcPr>
            <w:tcW w:w="960" w:type="dxa"/>
            <w:tcBorders>
              <w:top w:val="nil"/>
              <w:left w:val="nil"/>
              <w:bottom w:val="nil"/>
              <w:right w:val="nil"/>
            </w:tcBorders>
            <w:shd w:val="clear" w:color="auto" w:fill="auto"/>
            <w:noWrap/>
            <w:vAlign w:val="center"/>
          </w:tcPr>
          <w:p w14:paraId="4AE7A2D8" w14:textId="52110A39" w:rsidR="00F95572" w:rsidRPr="006910F8" w:rsidRDefault="00F95572" w:rsidP="006910F8">
            <w:pPr>
              <w:rPr>
                <w:color w:val="000000"/>
                <w:sz w:val="18"/>
                <w:szCs w:val="18"/>
                <w:lang w:val="es-ES"/>
              </w:rPr>
            </w:pPr>
            <w:r w:rsidRPr="006910F8">
              <w:rPr>
                <w:color w:val="000000"/>
                <w:sz w:val="18"/>
                <w:szCs w:val="18"/>
                <w:lang w:val="es-ES"/>
              </w:rPr>
              <w:t>0,055</w:t>
            </w:r>
          </w:p>
        </w:tc>
      </w:tr>
      <w:tr w:rsidR="00F95572" w:rsidRPr="006910F8" w14:paraId="7FD971D4" w14:textId="77777777" w:rsidTr="00F95572">
        <w:trPr>
          <w:cantSplit/>
          <w:trHeight w:val="720"/>
        </w:trPr>
        <w:tc>
          <w:tcPr>
            <w:tcW w:w="2425" w:type="dxa"/>
            <w:tcBorders>
              <w:top w:val="nil"/>
              <w:left w:val="nil"/>
              <w:bottom w:val="nil"/>
              <w:right w:val="nil"/>
            </w:tcBorders>
            <w:shd w:val="clear" w:color="auto" w:fill="auto"/>
            <w:vAlign w:val="center"/>
            <w:hideMark/>
          </w:tcPr>
          <w:p w14:paraId="6281C488" w14:textId="77777777" w:rsidR="00F95572" w:rsidRPr="006910F8" w:rsidRDefault="00F95572" w:rsidP="006910F8">
            <w:pPr>
              <w:rPr>
                <w:color w:val="000000"/>
                <w:sz w:val="18"/>
                <w:szCs w:val="18"/>
                <w:lang w:val="es-ES"/>
              </w:rPr>
            </w:pPr>
            <w:r w:rsidRPr="006910F8">
              <w:rPr>
                <w:color w:val="000000"/>
                <w:sz w:val="18"/>
                <w:szCs w:val="18"/>
                <w:lang w:val="es-ES"/>
              </w:rPr>
              <w:t>BREADTH x STAGE</w:t>
            </w:r>
          </w:p>
        </w:tc>
        <w:tc>
          <w:tcPr>
            <w:tcW w:w="815" w:type="dxa"/>
            <w:tcBorders>
              <w:top w:val="nil"/>
              <w:left w:val="nil"/>
              <w:bottom w:val="nil"/>
              <w:right w:val="nil"/>
            </w:tcBorders>
            <w:shd w:val="clear" w:color="auto" w:fill="auto"/>
            <w:noWrap/>
            <w:vAlign w:val="center"/>
            <w:hideMark/>
          </w:tcPr>
          <w:p w14:paraId="275D8234" w14:textId="77777777" w:rsidR="00F95572" w:rsidRPr="006910F8" w:rsidRDefault="00F95572"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4958D4D7" w14:textId="77777777" w:rsidR="00F95572" w:rsidRPr="006910F8" w:rsidRDefault="00F95572" w:rsidP="006910F8">
            <w:pPr>
              <w:rPr>
                <w:color w:val="000000"/>
                <w:sz w:val="18"/>
                <w:szCs w:val="18"/>
                <w:lang w:val="es-ES"/>
              </w:rPr>
            </w:pPr>
          </w:p>
        </w:tc>
        <w:tc>
          <w:tcPr>
            <w:tcW w:w="960" w:type="dxa"/>
            <w:tcBorders>
              <w:top w:val="nil"/>
              <w:left w:val="nil"/>
              <w:bottom w:val="nil"/>
              <w:right w:val="nil"/>
            </w:tcBorders>
            <w:shd w:val="clear" w:color="auto" w:fill="auto"/>
            <w:noWrap/>
            <w:vAlign w:val="center"/>
          </w:tcPr>
          <w:p w14:paraId="6FEA0EAD" w14:textId="2AA8897C" w:rsidR="00F95572" w:rsidRPr="006910F8" w:rsidRDefault="00F95572" w:rsidP="006910F8">
            <w:pPr>
              <w:rPr>
                <w:color w:val="000000"/>
                <w:sz w:val="18"/>
                <w:szCs w:val="18"/>
                <w:lang w:val="es-ES"/>
              </w:rPr>
            </w:pPr>
          </w:p>
        </w:tc>
        <w:tc>
          <w:tcPr>
            <w:tcW w:w="960" w:type="dxa"/>
            <w:tcBorders>
              <w:top w:val="nil"/>
              <w:left w:val="nil"/>
              <w:bottom w:val="nil"/>
              <w:right w:val="nil"/>
            </w:tcBorders>
            <w:shd w:val="clear" w:color="auto" w:fill="auto"/>
            <w:noWrap/>
            <w:vAlign w:val="center"/>
          </w:tcPr>
          <w:p w14:paraId="0141E322" w14:textId="390908EF" w:rsidR="00F95572" w:rsidRPr="006910F8" w:rsidRDefault="00F95572" w:rsidP="006910F8">
            <w:pPr>
              <w:rPr>
                <w:color w:val="000000"/>
                <w:sz w:val="18"/>
                <w:szCs w:val="18"/>
                <w:lang w:val="es-ES"/>
              </w:rPr>
            </w:pPr>
          </w:p>
        </w:tc>
        <w:tc>
          <w:tcPr>
            <w:tcW w:w="960" w:type="dxa"/>
            <w:tcBorders>
              <w:top w:val="nil"/>
              <w:left w:val="nil"/>
              <w:bottom w:val="nil"/>
              <w:right w:val="nil"/>
            </w:tcBorders>
            <w:shd w:val="clear" w:color="auto" w:fill="auto"/>
            <w:noWrap/>
            <w:vAlign w:val="center"/>
          </w:tcPr>
          <w:p w14:paraId="57B35290" w14:textId="0D68842C" w:rsidR="00F95572" w:rsidRPr="006910F8" w:rsidRDefault="00F95572" w:rsidP="006910F8">
            <w:pPr>
              <w:rPr>
                <w:color w:val="000000"/>
                <w:sz w:val="18"/>
                <w:szCs w:val="18"/>
                <w:lang w:val="es-ES"/>
              </w:rPr>
            </w:pPr>
            <w:r w:rsidRPr="006910F8">
              <w:rPr>
                <w:color w:val="000000"/>
                <w:sz w:val="18"/>
                <w:szCs w:val="18"/>
                <w:lang w:val="es-ES"/>
              </w:rPr>
              <w:t>0,077***</w:t>
            </w:r>
          </w:p>
        </w:tc>
        <w:tc>
          <w:tcPr>
            <w:tcW w:w="960" w:type="dxa"/>
            <w:tcBorders>
              <w:top w:val="nil"/>
              <w:left w:val="nil"/>
              <w:bottom w:val="nil"/>
              <w:right w:val="nil"/>
            </w:tcBorders>
            <w:shd w:val="clear" w:color="auto" w:fill="auto"/>
            <w:noWrap/>
            <w:vAlign w:val="center"/>
          </w:tcPr>
          <w:p w14:paraId="15733588" w14:textId="7DA34261" w:rsidR="00F95572" w:rsidRPr="006910F8" w:rsidRDefault="00F95572" w:rsidP="006910F8">
            <w:pPr>
              <w:rPr>
                <w:color w:val="000000"/>
                <w:sz w:val="18"/>
                <w:szCs w:val="18"/>
                <w:lang w:val="es-ES"/>
              </w:rPr>
            </w:pPr>
            <w:r w:rsidRPr="006910F8">
              <w:rPr>
                <w:color w:val="000000"/>
                <w:sz w:val="18"/>
                <w:szCs w:val="18"/>
                <w:lang w:val="es-ES"/>
              </w:rPr>
              <w:t>0,021</w:t>
            </w:r>
          </w:p>
        </w:tc>
      </w:tr>
      <w:tr w:rsidR="00F95572" w:rsidRPr="006910F8" w14:paraId="6A320A4D" w14:textId="77777777" w:rsidTr="00F95572">
        <w:trPr>
          <w:cantSplit/>
          <w:trHeight w:val="480"/>
        </w:trPr>
        <w:tc>
          <w:tcPr>
            <w:tcW w:w="2425" w:type="dxa"/>
            <w:tcBorders>
              <w:top w:val="nil"/>
              <w:left w:val="nil"/>
              <w:bottom w:val="nil"/>
              <w:right w:val="nil"/>
            </w:tcBorders>
            <w:shd w:val="clear" w:color="auto" w:fill="auto"/>
            <w:vAlign w:val="center"/>
            <w:hideMark/>
          </w:tcPr>
          <w:p w14:paraId="53F0C089" w14:textId="0299F595" w:rsidR="00F95572" w:rsidRPr="006910F8" w:rsidRDefault="00F95572" w:rsidP="006910F8">
            <w:pPr>
              <w:rPr>
                <w:color w:val="000000"/>
                <w:sz w:val="18"/>
                <w:szCs w:val="18"/>
                <w:lang w:val="es-ES"/>
              </w:rPr>
            </w:pPr>
            <w:r w:rsidRPr="006910F8">
              <w:rPr>
                <w:color w:val="000000"/>
                <w:sz w:val="18"/>
                <w:szCs w:val="18"/>
                <w:lang w:val="es-ES"/>
              </w:rPr>
              <w:t xml:space="preserve">DEPTH x </w:t>
            </w:r>
            <w:proofErr w:type="spellStart"/>
            <w:r w:rsidRPr="006910F8">
              <w:rPr>
                <w:color w:val="000000"/>
                <w:sz w:val="18"/>
                <w:szCs w:val="18"/>
                <w:lang w:val="es-ES"/>
              </w:rPr>
              <w:t>EquitySt</w:t>
            </w:r>
            <w:r>
              <w:rPr>
                <w:color w:val="000000"/>
                <w:sz w:val="18"/>
                <w:szCs w:val="18"/>
                <w:lang w:val="es-ES"/>
              </w:rPr>
              <w:t>ructure</w:t>
            </w:r>
            <w:proofErr w:type="spellEnd"/>
          </w:p>
        </w:tc>
        <w:tc>
          <w:tcPr>
            <w:tcW w:w="815" w:type="dxa"/>
            <w:tcBorders>
              <w:top w:val="nil"/>
              <w:left w:val="nil"/>
              <w:bottom w:val="nil"/>
              <w:right w:val="nil"/>
            </w:tcBorders>
            <w:shd w:val="clear" w:color="auto" w:fill="auto"/>
            <w:noWrap/>
            <w:vAlign w:val="center"/>
            <w:hideMark/>
          </w:tcPr>
          <w:p w14:paraId="56171E9C" w14:textId="77777777" w:rsidR="00F95572" w:rsidRPr="006910F8" w:rsidRDefault="00F95572"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4FFE3484" w14:textId="77777777" w:rsidR="00F95572" w:rsidRPr="006910F8" w:rsidRDefault="00F95572"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663190BB" w14:textId="77777777" w:rsidR="00F95572" w:rsidRPr="006910F8" w:rsidRDefault="00F95572" w:rsidP="006910F8">
            <w:pPr>
              <w:rPr>
                <w:color w:val="000000"/>
                <w:sz w:val="18"/>
                <w:szCs w:val="18"/>
                <w:lang w:val="es-ES"/>
              </w:rPr>
            </w:pPr>
          </w:p>
        </w:tc>
        <w:tc>
          <w:tcPr>
            <w:tcW w:w="960" w:type="dxa"/>
            <w:tcBorders>
              <w:top w:val="nil"/>
              <w:left w:val="nil"/>
              <w:bottom w:val="nil"/>
              <w:right w:val="nil"/>
            </w:tcBorders>
            <w:shd w:val="clear" w:color="auto" w:fill="auto"/>
            <w:noWrap/>
            <w:vAlign w:val="center"/>
            <w:hideMark/>
          </w:tcPr>
          <w:p w14:paraId="168A3B8A" w14:textId="77777777" w:rsidR="00F95572" w:rsidRPr="006910F8" w:rsidRDefault="00F95572" w:rsidP="006910F8">
            <w:pPr>
              <w:rPr>
                <w:color w:val="000000"/>
                <w:sz w:val="18"/>
                <w:szCs w:val="18"/>
                <w:lang w:val="es-ES"/>
              </w:rPr>
            </w:pPr>
          </w:p>
        </w:tc>
        <w:tc>
          <w:tcPr>
            <w:tcW w:w="960" w:type="dxa"/>
            <w:tcBorders>
              <w:top w:val="nil"/>
              <w:left w:val="nil"/>
              <w:bottom w:val="nil"/>
              <w:right w:val="nil"/>
            </w:tcBorders>
            <w:shd w:val="clear" w:color="auto" w:fill="auto"/>
            <w:noWrap/>
            <w:vAlign w:val="center"/>
          </w:tcPr>
          <w:p w14:paraId="501ADC4C" w14:textId="2C95B468" w:rsidR="00F95572" w:rsidRPr="006910F8" w:rsidRDefault="00F95572" w:rsidP="006910F8">
            <w:pPr>
              <w:rPr>
                <w:color w:val="000000"/>
                <w:sz w:val="18"/>
                <w:szCs w:val="18"/>
                <w:lang w:val="es-ES"/>
              </w:rPr>
            </w:pPr>
            <w:r w:rsidRPr="006910F8">
              <w:rPr>
                <w:color w:val="000000"/>
                <w:sz w:val="18"/>
                <w:szCs w:val="18"/>
                <w:lang w:val="es-ES"/>
              </w:rPr>
              <w:t>0,316</w:t>
            </w:r>
          </w:p>
        </w:tc>
        <w:tc>
          <w:tcPr>
            <w:tcW w:w="960" w:type="dxa"/>
            <w:tcBorders>
              <w:top w:val="nil"/>
              <w:left w:val="nil"/>
              <w:bottom w:val="nil"/>
              <w:right w:val="nil"/>
            </w:tcBorders>
            <w:shd w:val="clear" w:color="auto" w:fill="auto"/>
            <w:noWrap/>
            <w:vAlign w:val="center"/>
          </w:tcPr>
          <w:p w14:paraId="31822E2C" w14:textId="0636B74D" w:rsidR="00F95572" w:rsidRPr="006910F8" w:rsidRDefault="00F95572" w:rsidP="006910F8">
            <w:pPr>
              <w:rPr>
                <w:color w:val="000000"/>
                <w:sz w:val="18"/>
                <w:szCs w:val="18"/>
                <w:lang w:val="es-ES"/>
              </w:rPr>
            </w:pPr>
            <w:r w:rsidRPr="006910F8">
              <w:rPr>
                <w:color w:val="000000"/>
                <w:sz w:val="18"/>
                <w:szCs w:val="18"/>
                <w:lang w:val="es-ES"/>
              </w:rPr>
              <w:t>0,786</w:t>
            </w:r>
          </w:p>
        </w:tc>
      </w:tr>
      <w:tr w:rsidR="00F95572" w:rsidRPr="006910F8" w14:paraId="6F912BC7" w14:textId="77777777" w:rsidTr="00F95572">
        <w:trPr>
          <w:cantSplit/>
          <w:trHeight w:val="675"/>
        </w:trPr>
        <w:tc>
          <w:tcPr>
            <w:tcW w:w="2425" w:type="dxa"/>
            <w:tcBorders>
              <w:top w:val="nil"/>
              <w:left w:val="nil"/>
              <w:bottom w:val="single" w:sz="8" w:space="0" w:color="auto"/>
              <w:right w:val="nil"/>
            </w:tcBorders>
            <w:shd w:val="clear" w:color="auto" w:fill="auto"/>
            <w:vAlign w:val="center"/>
            <w:hideMark/>
          </w:tcPr>
          <w:p w14:paraId="1CC20E48" w14:textId="676EFD83" w:rsidR="00F95572" w:rsidRPr="006910F8" w:rsidRDefault="00F95572" w:rsidP="006910F8">
            <w:pPr>
              <w:rPr>
                <w:color w:val="000000"/>
                <w:sz w:val="18"/>
                <w:szCs w:val="18"/>
                <w:lang w:val="es-ES"/>
              </w:rPr>
            </w:pPr>
            <w:r w:rsidRPr="006910F8">
              <w:rPr>
                <w:color w:val="000000"/>
                <w:sz w:val="18"/>
                <w:szCs w:val="18"/>
                <w:lang w:val="es-ES"/>
              </w:rPr>
              <w:t xml:space="preserve">BREADTH x </w:t>
            </w:r>
            <w:proofErr w:type="spellStart"/>
            <w:r w:rsidRPr="006910F8">
              <w:rPr>
                <w:color w:val="000000"/>
                <w:sz w:val="18"/>
                <w:szCs w:val="18"/>
                <w:lang w:val="es-ES"/>
              </w:rPr>
              <w:t>EquitySt</w:t>
            </w:r>
            <w:r>
              <w:rPr>
                <w:color w:val="000000"/>
                <w:sz w:val="18"/>
                <w:szCs w:val="18"/>
                <w:lang w:val="es-ES"/>
              </w:rPr>
              <w:t>ructure</w:t>
            </w:r>
            <w:proofErr w:type="spellEnd"/>
          </w:p>
        </w:tc>
        <w:tc>
          <w:tcPr>
            <w:tcW w:w="815" w:type="dxa"/>
            <w:tcBorders>
              <w:top w:val="nil"/>
              <w:left w:val="nil"/>
              <w:bottom w:val="single" w:sz="8" w:space="0" w:color="auto"/>
              <w:right w:val="nil"/>
            </w:tcBorders>
            <w:shd w:val="clear" w:color="auto" w:fill="auto"/>
            <w:noWrap/>
            <w:vAlign w:val="center"/>
            <w:hideMark/>
          </w:tcPr>
          <w:p w14:paraId="5BAA9F9F" w14:textId="77777777" w:rsidR="00F95572" w:rsidRPr="006910F8" w:rsidRDefault="00F95572" w:rsidP="006910F8">
            <w:pPr>
              <w:rPr>
                <w:color w:val="000000"/>
                <w:sz w:val="18"/>
                <w:szCs w:val="18"/>
                <w:lang w:val="es-ES"/>
              </w:rPr>
            </w:pPr>
            <w:r w:rsidRPr="006910F8">
              <w:rPr>
                <w:color w:val="000000"/>
                <w:sz w:val="18"/>
                <w:szCs w:val="18"/>
                <w:lang w:val="es-ES"/>
              </w:rPr>
              <w:t> </w:t>
            </w:r>
          </w:p>
        </w:tc>
        <w:tc>
          <w:tcPr>
            <w:tcW w:w="960" w:type="dxa"/>
            <w:tcBorders>
              <w:top w:val="nil"/>
              <w:left w:val="nil"/>
              <w:bottom w:val="single" w:sz="8" w:space="0" w:color="auto"/>
              <w:right w:val="nil"/>
            </w:tcBorders>
            <w:shd w:val="clear" w:color="auto" w:fill="auto"/>
            <w:noWrap/>
            <w:vAlign w:val="center"/>
            <w:hideMark/>
          </w:tcPr>
          <w:p w14:paraId="3BBA6AD5" w14:textId="77777777" w:rsidR="00F95572" w:rsidRPr="006910F8" w:rsidRDefault="00F95572" w:rsidP="006910F8">
            <w:pPr>
              <w:rPr>
                <w:color w:val="000000"/>
                <w:sz w:val="18"/>
                <w:szCs w:val="18"/>
                <w:lang w:val="es-ES"/>
              </w:rPr>
            </w:pPr>
            <w:r w:rsidRPr="006910F8">
              <w:rPr>
                <w:color w:val="000000"/>
                <w:sz w:val="18"/>
                <w:szCs w:val="18"/>
                <w:lang w:val="es-ES"/>
              </w:rPr>
              <w:t> </w:t>
            </w:r>
          </w:p>
        </w:tc>
        <w:tc>
          <w:tcPr>
            <w:tcW w:w="960" w:type="dxa"/>
            <w:tcBorders>
              <w:top w:val="nil"/>
              <w:left w:val="nil"/>
              <w:bottom w:val="single" w:sz="8" w:space="0" w:color="auto"/>
              <w:right w:val="nil"/>
            </w:tcBorders>
            <w:shd w:val="clear" w:color="auto" w:fill="auto"/>
            <w:noWrap/>
            <w:vAlign w:val="center"/>
            <w:hideMark/>
          </w:tcPr>
          <w:p w14:paraId="79A13F92" w14:textId="77777777" w:rsidR="00F95572" w:rsidRPr="006910F8" w:rsidRDefault="00F95572" w:rsidP="006910F8">
            <w:pPr>
              <w:rPr>
                <w:color w:val="000000"/>
                <w:sz w:val="18"/>
                <w:szCs w:val="18"/>
                <w:lang w:val="es-ES"/>
              </w:rPr>
            </w:pPr>
            <w:r w:rsidRPr="006910F8">
              <w:rPr>
                <w:color w:val="000000"/>
                <w:sz w:val="18"/>
                <w:szCs w:val="18"/>
                <w:lang w:val="es-ES"/>
              </w:rPr>
              <w:t> </w:t>
            </w:r>
          </w:p>
        </w:tc>
        <w:tc>
          <w:tcPr>
            <w:tcW w:w="960" w:type="dxa"/>
            <w:tcBorders>
              <w:top w:val="nil"/>
              <w:left w:val="nil"/>
              <w:bottom w:val="single" w:sz="8" w:space="0" w:color="auto"/>
              <w:right w:val="nil"/>
            </w:tcBorders>
            <w:shd w:val="clear" w:color="auto" w:fill="auto"/>
            <w:noWrap/>
            <w:vAlign w:val="center"/>
            <w:hideMark/>
          </w:tcPr>
          <w:p w14:paraId="3A10CE35" w14:textId="77777777" w:rsidR="00F95572" w:rsidRPr="006910F8" w:rsidRDefault="00F95572" w:rsidP="006910F8">
            <w:pPr>
              <w:rPr>
                <w:color w:val="000000"/>
                <w:sz w:val="18"/>
                <w:szCs w:val="18"/>
                <w:lang w:val="es-ES"/>
              </w:rPr>
            </w:pPr>
            <w:r w:rsidRPr="006910F8">
              <w:rPr>
                <w:color w:val="000000"/>
                <w:sz w:val="18"/>
                <w:szCs w:val="18"/>
                <w:lang w:val="es-ES"/>
              </w:rPr>
              <w:t> </w:t>
            </w:r>
          </w:p>
        </w:tc>
        <w:tc>
          <w:tcPr>
            <w:tcW w:w="960" w:type="dxa"/>
            <w:tcBorders>
              <w:top w:val="nil"/>
              <w:left w:val="nil"/>
              <w:bottom w:val="single" w:sz="8" w:space="0" w:color="auto"/>
              <w:right w:val="nil"/>
            </w:tcBorders>
            <w:shd w:val="clear" w:color="auto" w:fill="auto"/>
            <w:noWrap/>
            <w:vAlign w:val="center"/>
          </w:tcPr>
          <w:p w14:paraId="31C39EFF" w14:textId="7C22BD51" w:rsidR="00F95572" w:rsidRPr="006910F8" w:rsidRDefault="00F95572" w:rsidP="006910F8">
            <w:pPr>
              <w:rPr>
                <w:color w:val="000000"/>
                <w:sz w:val="18"/>
                <w:szCs w:val="18"/>
                <w:lang w:val="es-ES"/>
              </w:rPr>
            </w:pPr>
            <w:r w:rsidRPr="006910F8">
              <w:rPr>
                <w:color w:val="000000"/>
                <w:sz w:val="18"/>
                <w:szCs w:val="18"/>
                <w:lang w:val="es-ES"/>
              </w:rPr>
              <w:t>-0,936 +</w:t>
            </w:r>
          </w:p>
        </w:tc>
        <w:tc>
          <w:tcPr>
            <w:tcW w:w="960" w:type="dxa"/>
            <w:tcBorders>
              <w:top w:val="nil"/>
              <w:left w:val="nil"/>
              <w:bottom w:val="single" w:sz="8" w:space="0" w:color="auto"/>
              <w:right w:val="nil"/>
            </w:tcBorders>
            <w:shd w:val="clear" w:color="auto" w:fill="auto"/>
            <w:noWrap/>
            <w:vAlign w:val="center"/>
          </w:tcPr>
          <w:p w14:paraId="38B76B03" w14:textId="5BC5BD0B" w:rsidR="00F95572" w:rsidRPr="006910F8" w:rsidRDefault="00F95572" w:rsidP="006910F8">
            <w:pPr>
              <w:rPr>
                <w:color w:val="000000"/>
                <w:sz w:val="18"/>
                <w:szCs w:val="18"/>
                <w:lang w:val="es-ES"/>
              </w:rPr>
            </w:pPr>
            <w:r w:rsidRPr="006910F8">
              <w:rPr>
                <w:color w:val="000000"/>
                <w:sz w:val="18"/>
                <w:szCs w:val="18"/>
                <w:lang w:val="es-ES"/>
              </w:rPr>
              <w:t>0,523</w:t>
            </w:r>
          </w:p>
        </w:tc>
      </w:tr>
      <w:tr w:rsidR="00F95572" w:rsidRPr="006910F8" w14:paraId="2C43ECF6" w14:textId="77777777" w:rsidTr="00F95572">
        <w:trPr>
          <w:cantSplit/>
          <w:trHeight w:val="300"/>
        </w:trPr>
        <w:tc>
          <w:tcPr>
            <w:tcW w:w="8040" w:type="dxa"/>
            <w:gridSpan w:val="7"/>
            <w:tcBorders>
              <w:top w:val="single" w:sz="8" w:space="0" w:color="auto"/>
              <w:left w:val="nil"/>
              <w:bottom w:val="nil"/>
              <w:right w:val="nil"/>
            </w:tcBorders>
            <w:shd w:val="clear" w:color="auto" w:fill="auto"/>
            <w:vAlign w:val="center"/>
            <w:hideMark/>
          </w:tcPr>
          <w:p w14:paraId="2F495B65" w14:textId="77777777" w:rsidR="00F95572" w:rsidRPr="006910F8" w:rsidRDefault="00F95572" w:rsidP="006910F8">
            <w:pPr>
              <w:rPr>
                <w:color w:val="000000"/>
                <w:sz w:val="18"/>
                <w:szCs w:val="18"/>
                <w:lang w:val="en-US"/>
              </w:rPr>
            </w:pPr>
            <w:r w:rsidRPr="006910F8">
              <w:rPr>
                <w:color w:val="000000"/>
                <w:sz w:val="18"/>
                <w:szCs w:val="18"/>
                <w:lang w:val="en-US"/>
              </w:rPr>
              <w:t>+ p&lt;0.1, * p&lt;0.05, ** p&lt;0.01, *** p&lt;0.001. N=330 alliances</w:t>
            </w:r>
          </w:p>
        </w:tc>
      </w:tr>
    </w:tbl>
    <w:p w14:paraId="48D06554" w14:textId="16240455" w:rsidR="00946004" w:rsidRPr="00594F2B" w:rsidRDefault="00946004" w:rsidP="006910F8">
      <w:pPr>
        <w:pStyle w:val="SalehProyectoTesisFormatting"/>
        <w:ind w:firstLine="0"/>
      </w:pPr>
    </w:p>
    <w:sectPr w:rsidR="00946004" w:rsidRPr="00594F2B" w:rsidSect="006910F8">
      <w:pgSz w:w="11907" w:h="16840" w:code="9"/>
      <w:pgMar w:top="1699" w:right="1382" w:bottom="1699"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6EE08" w14:textId="77777777" w:rsidR="004923C7" w:rsidRDefault="004923C7">
      <w:r>
        <w:separator/>
      </w:r>
    </w:p>
  </w:endnote>
  <w:endnote w:type="continuationSeparator" w:id="0">
    <w:p w14:paraId="04FD8D0F" w14:textId="77777777" w:rsidR="004923C7" w:rsidRDefault="004923C7">
      <w:r>
        <w:continuationSeparator/>
      </w:r>
    </w:p>
  </w:endnote>
  <w:endnote w:type="continuationNotice" w:id="1">
    <w:p w14:paraId="7718B05F" w14:textId="77777777" w:rsidR="004923C7" w:rsidRDefault="00492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altName w:val="Symbol"/>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072812"/>
      <w:docPartObj>
        <w:docPartGallery w:val="Page Numbers (Bottom of Page)"/>
        <w:docPartUnique/>
      </w:docPartObj>
    </w:sdtPr>
    <w:sdtEndPr/>
    <w:sdtContent>
      <w:p w14:paraId="5B815EB0" w14:textId="49743FEF" w:rsidR="00FC6939" w:rsidRDefault="00FC6939">
        <w:pPr>
          <w:pStyle w:val="Footer"/>
          <w:jc w:val="center"/>
        </w:pPr>
        <w:r>
          <w:fldChar w:fldCharType="begin"/>
        </w:r>
        <w:r>
          <w:instrText>PAGE   \* MERGEFORMAT</w:instrText>
        </w:r>
        <w:r>
          <w:fldChar w:fldCharType="separate"/>
        </w:r>
        <w:r w:rsidRPr="005F13B9">
          <w:rPr>
            <w:noProof/>
            <w:lang w:val="es-ES"/>
          </w:rPr>
          <w:t>16</w:t>
        </w:r>
        <w:r>
          <w:fldChar w:fldCharType="end"/>
        </w:r>
      </w:p>
    </w:sdtContent>
  </w:sdt>
  <w:p w14:paraId="4D04AC21" w14:textId="77777777" w:rsidR="00FC6939" w:rsidRDefault="00FC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07DD" w14:textId="77777777" w:rsidR="004923C7" w:rsidRDefault="004923C7">
      <w:r>
        <w:separator/>
      </w:r>
    </w:p>
  </w:footnote>
  <w:footnote w:type="continuationSeparator" w:id="0">
    <w:p w14:paraId="291C163D" w14:textId="77777777" w:rsidR="004923C7" w:rsidRDefault="004923C7">
      <w:r>
        <w:continuationSeparator/>
      </w:r>
    </w:p>
  </w:footnote>
  <w:footnote w:type="continuationNotice" w:id="1">
    <w:p w14:paraId="20BC1830" w14:textId="77777777" w:rsidR="004923C7" w:rsidRDefault="004923C7"/>
  </w:footnote>
  <w:footnote w:id="2">
    <w:p w14:paraId="5ECE36FE" w14:textId="6D7CC8D9" w:rsidR="00FC6939" w:rsidRPr="004A7012" w:rsidRDefault="00FC6939">
      <w:pPr>
        <w:pStyle w:val="FootnoteText"/>
        <w:rPr>
          <w:lang w:val="en-US"/>
        </w:rPr>
      </w:pPr>
      <w:r w:rsidRPr="00DD5CAA">
        <w:rPr>
          <w:rStyle w:val="FootnoteReference"/>
        </w:rPr>
        <w:footnoteRef/>
      </w:r>
      <w:r>
        <w:t xml:space="preserve"> </w:t>
      </w:r>
      <w:r w:rsidRPr="00A94D56">
        <w:rPr>
          <w:rFonts w:ascii="Baskerville Old Face" w:hAnsi="Baskerville Old Face"/>
          <w:szCs w:val="24"/>
        </w:rPr>
        <w:t>As George et. al (2008) put it, our concentration-based depth measure “</w:t>
      </w:r>
      <w:r w:rsidRPr="00A94D56">
        <w:rPr>
          <w:rFonts w:ascii="Baskerville Old Face" w:eastAsiaTheme="minorEastAsia" w:hAnsi="Baskerville Old Face" w:cstheme="majorBidi"/>
          <w:color w:val="000000" w:themeColor="text1"/>
          <w:szCs w:val="24"/>
        </w:rPr>
        <w:t>penalizes firms for dispersion across patent classes</w:t>
      </w:r>
      <w:r w:rsidRPr="00A94D56">
        <w:rPr>
          <w:rFonts w:ascii="Baskerville Old Face" w:hAnsi="Baskerville Old Face"/>
          <w:szCs w:val="24"/>
        </w:rPr>
        <w:t xml:space="preserve">”, i.e. a broader firm gets lower depth values. While we recognize this, we still keep the measure this way because it compares the concentration of a firm’s knowledge base with the concentration of other firms’ knowledge bases, </w:t>
      </w:r>
      <w:r w:rsidRPr="00A94D56">
        <w:rPr>
          <w:rFonts w:ascii="Baskerville Old Face" w:hAnsi="Baskerville Old Face"/>
          <w:szCs w:val="24"/>
          <w:u w:val="single"/>
        </w:rPr>
        <w:t>regardless of how the size of those knowledge bases compare</w:t>
      </w:r>
      <w:r w:rsidRPr="00A94D56">
        <w:rPr>
          <w:rFonts w:ascii="Baskerville Old Face" w:hAnsi="Baskerville Old Face"/>
          <w:szCs w:val="24"/>
        </w:rPr>
        <w:t xml:space="preserve">. This relates to how we conceptualized depth: The relative focus that gives the focal firm more leverage than another firm lacking that focus but perhaps having more resources. Moreover, George et. al (2008) find </w:t>
      </w:r>
      <w:r w:rsidRPr="00A94D56">
        <w:rPr>
          <w:rFonts w:ascii="Baskerville Old Face" w:eastAsiaTheme="minorEastAsia" w:hAnsi="Baskerville Old Face" w:cstheme="majorBidi"/>
          <w:color w:val="000000" w:themeColor="text1"/>
          <w:szCs w:val="24"/>
        </w:rPr>
        <w:t xml:space="preserve"> a correlation of r=0.80, p&lt;0.001 between their own depth measure and the concentration-based measure which is similar to 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F103F" w14:textId="3F23009C" w:rsidR="00FC6939" w:rsidRPr="00280CB9" w:rsidRDefault="00487E5D" w:rsidP="005A4C42">
    <w:pPr>
      <w:pStyle w:val="Header"/>
      <w:jc w:val="center"/>
      <w:rPr>
        <w:lang w:val="en-US"/>
      </w:rPr>
    </w:pPr>
    <w:r>
      <w:rPr>
        <w:b/>
        <w:bCs/>
        <w:lang w:val="en-US"/>
      </w:rPr>
      <w:t xml:space="preserve">No Pain, No Gain! </w:t>
    </w:r>
    <w:r w:rsidR="00FC6939">
      <w:rPr>
        <w:b/>
        <w:bCs/>
        <w:lang w:val="en-US"/>
      </w:rPr>
      <w:t xml:space="preserve">Unraveling the Roles of </w:t>
    </w:r>
    <w:r w:rsidR="00FC6939" w:rsidRPr="00280CB9">
      <w:rPr>
        <w:b/>
        <w:bCs/>
        <w:lang w:val="en-US"/>
      </w:rPr>
      <w:t>Technological Depth and Breadth</w:t>
    </w:r>
    <w:r w:rsidR="00FC6939">
      <w:rPr>
        <w:b/>
        <w:bCs/>
        <w:lang w:val="en-US"/>
      </w:rPr>
      <w:t xml:space="preserve"> </w:t>
    </w:r>
    <w:r w:rsidR="00730D13">
      <w:rPr>
        <w:b/>
        <w:bCs/>
        <w:lang w:val="en-US"/>
      </w:rPr>
      <w:t>on the Financial Capital a Biotech Firm Raises from a Big Pharma Partner</w:t>
    </w:r>
  </w:p>
  <w:p w14:paraId="0E4DB453" w14:textId="73FCB9A9" w:rsidR="00FC6939" w:rsidRPr="00280CB9" w:rsidRDefault="00FC6939" w:rsidP="002E1282">
    <w:pPr>
      <w:pStyle w:val="Header"/>
      <w:rPr>
        <w:lang w:val="en-US"/>
      </w:rPr>
    </w:pPr>
  </w:p>
  <w:p w14:paraId="27165869" w14:textId="77777777" w:rsidR="00FC6939" w:rsidRPr="00280CB9" w:rsidRDefault="00FC693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A7EA5C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64AFAC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C96C86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463E7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CD0483"/>
    <w:multiLevelType w:val="hybridMultilevel"/>
    <w:tmpl w:val="82406CF2"/>
    <w:lvl w:ilvl="0" w:tplc="8A5EBAFC">
      <w:start w:val="20"/>
      <w:numFmt w:val="bullet"/>
      <w:lvlText w:val=""/>
      <w:lvlJc w:val="left"/>
      <w:pPr>
        <w:tabs>
          <w:tab w:val="num" w:pos="-360"/>
        </w:tabs>
        <w:ind w:left="1785" w:hanging="1425"/>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6309A5"/>
    <w:multiLevelType w:val="hybridMultilevel"/>
    <w:tmpl w:val="630091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C1A6924"/>
    <w:multiLevelType w:val="multilevel"/>
    <w:tmpl w:val="9F36458A"/>
    <w:lvl w:ilvl="0">
      <w:start w:val="1"/>
      <w:numFmt w:val="decimal"/>
      <w:lvlText w:val="%1."/>
      <w:lvlJc w:val="left"/>
      <w:pPr>
        <w:ind w:left="720" w:hanging="360"/>
      </w:pPr>
      <w:rPr>
        <w:rFonts w:hint="default"/>
        <w:color w:val="auto"/>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FB2511D"/>
    <w:multiLevelType w:val="hybridMultilevel"/>
    <w:tmpl w:val="0D12AA2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F6D64"/>
    <w:multiLevelType w:val="hybridMultilevel"/>
    <w:tmpl w:val="B9404A1C"/>
    <w:lvl w:ilvl="0" w:tplc="0AF6F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42B74"/>
    <w:multiLevelType w:val="hybridMultilevel"/>
    <w:tmpl w:val="E7DA388A"/>
    <w:lvl w:ilvl="0" w:tplc="0FEE61DC">
      <w:start w:val="1"/>
      <w:numFmt w:val="lowerLetter"/>
      <w:lvlText w:val="%1)"/>
      <w:lvlJc w:val="left"/>
      <w:pPr>
        <w:tabs>
          <w:tab w:val="num" w:pos="1068"/>
        </w:tabs>
        <w:ind w:left="1068" w:hanging="360"/>
      </w:pPr>
      <w:rPr>
        <w:rFonts w:hint="default"/>
      </w:rPr>
    </w:lvl>
    <w:lvl w:ilvl="1" w:tplc="5A9200A4">
      <w:start w:val="1"/>
      <w:numFmt w:val="decimal"/>
      <w:lvlText w:val="%2-"/>
      <w:lvlJc w:val="left"/>
      <w:pPr>
        <w:tabs>
          <w:tab w:val="num" w:pos="1788"/>
        </w:tabs>
        <w:ind w:left="1788" w:hanging="360"/>
      </w:pPr>
      <w:rPr>
        <w:rFonts w:hint="default"/>
      </w:rPr>
    </w:lvl>
    <w:lvl w:ilvl="2" w:tplc="966E9CEA">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9F6B13"/>
    <w:multiLevelType w:val="hybridMultilevel"/>
    <w:tmpl w:val="FBA0F588"/>
    <w:lvl w:ilvl="0" w:tplc="018CD2B8">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175A97"/>
    <w:multiLevelType w:val="singleLevel"/>
    <w:tmpl w:val="13BA1BEE"/>
    <w:lvl w:ilvl="0">
      <w:start w:val="1"/>
      <w:numFmt w:val="decimal"/>
      <w:lvlText w:val="%1"/>
      <w:lvlJc w:val="left"/>
      <w:pPr>
        <w:tabs>
          <w:tab w:val="num" w:pos="360"/>
        </w:tabs>
        <w:ind w:left="360" w:hanging="360"/>
      </w:pPr>
      <w:rPr>
        <w:rFonts w:hint="default"/>
      </w:rPr>
    </w:lvl>
  </w:abstractNum>
  <w:abstractNum w:abstractNumId="15" w15:restartNumberingAfterBreak="0">
    <w:nsid w:val="19017ECA"/>
    <w:multiLevelType w:val="hybridMultilevel"/>
    <w:tmpl w:val="E166B2AA"/>
    <w:lvl w:ilvl="0" w:tplc="DFFECED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AC35824"/>
    <w:multiLevelType w:val="hybridMultilevel"/>
    <w:tmpl w:val="38162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4F1CC2"/>
    <w:multiLevelType w:val="hybridMultilevel"/>
    <w:tmpl w:val="C4B2626A"/>
    <w:lvl w:ilvl="0" w:tplc="018CD2B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55440"/>
    <w:multiLevelType w:val="hybridMultilevel"/>
    <w:tmpl w:val="D090AC0A"/>
    <w:lvl w:ilvl="0" w:tplc="8A5EBAFC">
      <w:start w:val="20"/>
      <w:numFmt w:val="bullet"/>
      <w:lvlText w:val=""/>
      <w:lvlJc w:val="left"/>
      <w:pPr>
        <w:tabs>
          <w:tab w:val="num" w:pos="0"/>
        </w:tabs>
        <w:ind w:left="2145" w:hanging="1425"/>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2A0C9A"/>
    <w:multiLevelType w:val="hybridMultilevel"/>
    <w:tmpl w:val="EA7AF51E"/>
    <w:lvl w:ilvl="0" w:tplc="018CD2B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EC15C3"/>
    <w:multiLevelType w:val="hybridMultilevel"/>
    <w:tmpl w:val="39EC6C86"/>
    <w:lvl w:ilvl="0" w:tplc="17428042">
      <w:start w:val="1"/>
      <w:numFmt w:val="lowerLetter"/>
      <w:lvlText w:val="%1)"/>
      <w:lvlJc w:val="left"/>
      <w:pPr>
        <w:tabs>
          <w:tab w:val="num" w:pos="1068"/>
        </w:tabs>
        <w:ind w:left="1068" w:hanging="360"/>
      </w:pPr>
      <w:rPr>
        <w:rFonts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15:restartNumberingAfterBreak="0">
    <w:nsid w:val="2B6459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C02D8E"/>
    <w:multiLevelType w:val="hybridMultilevel"/>
    <w:tmpl w:val="C9E4CB7E"/>
    <w:lvl w:ilvl="0" w:tplc="0FEE61D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3753EFD"/>
    <w:multiLevelType w:val="hybridMultilevel"/>
    <w:tmpl w:val="7A7C507A"/>
    <w:lvl w:ilvl="0" w:tplc="0FEE61D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3B44F87"/>
    <w:multiLevelType w:val="hybridMultilevel"/>
    <w:tmpl w:val="8CD445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50553C"/>
    <w:multiLevelType w:val="hybridMultilevel"/>
    <w:tmpl w:val="208E39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78D567D"/>
    <w:multiLevelType w:val="hybridMultilevel"/>
    <w:tmpl w:val="7FA2C88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732"/>
        </w:tabs>
        <w:ind w:left="732" w:hanging="360"/>
      </w:p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27" w15:restartNumberingAfterBreak="0">
    <w:nsid w:val="3A883227"/>
    <w:multiLevelType w:val="hybridMultilevel"/>
    <w:tmpl w:val="902A177E"/>
    <w:lvl w:ilvl="0" w:tplc="17428042">
      <w:start w:val="1"/>
      <w:numFmt w:val="lowerLetter"/>
      <w:lvlText w:val="%1)"/>
      <w:lvlJc w:val="left"/>
      <w:pPr>
        <w:tabs>
          <w:tab w:val="num" w:pos="1068"/>
        </w:tabs>
        <w:ind w:left="1068" w:hanging="360"/>
      </w:pPr>
      <w:rPr>
        <w:rFonts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15:restartNumberingAfterBreak="0">
    <w:nsid w:val="3F281AE0"/>
    <w:multiLevelType w:val="multilevel"/>
    <w:tmpl w:val="208E39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4E96BC0"/>
    <w:multiLevelType w:val="multilevel"/>
    <w:tmpl w:val="CB10D870"/>
    <w:lvl w:ilvl="0">
      <w:start w:val="1"/>
      <w:numFmt w:val="none"/>
      <w:pStyle w:val="Heading1"/>
      <w:lvlText w:val="3.1"/>
      <w:lvlJc w:val="left"/>
      <w:pPr>
        <w:tabs>
          <w:tab w:val="num" w:pos="360"/>
        </w:tabs>
        <w:ind w:left="284" w:hanging="284"/>
      </w:pPr>
      <w:rPr>
        <w:rFonts w:ascii="Arial Narrow" w:hAnsi="Arial Narrow" w:hint="default"/>
        <w:b w:val="0"/>
        <w:i w:val="0"/>
        <w:sz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31" w15:restartNumberingAfterBreak="0">
    <w:nsid w:val="486F2006"/>
    <w:multiLevelType w:val="hybridMultilevel"/>
    <w:tmpl w:val="DCCCFE4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32" w15:restartNumberingAfterBreak="0">
    <w:nsid w:val="4F332624"/>
    <w:multiLevelType w:val="hybridMultilevel"/>
    <w:tmpl w:val="E326ABFE"/>
    <w:lvl w:ilvl="0" w:tplc="018CD2B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00F0AC5"/>
    <w:multiLevelType w:val="hybridMultilevel"/>
    <w:tmpl w:val="83561618"/>
    <w:lvl w:ilvl="0" w:tplc="018CD2B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FE344F"/>
    <w:multiLevelType w:val="multilevel"/>
    <w:tmpl w:val="7A2C5AD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5" w15:restartNumberingAfterBreak="0">
    <w:nsid w:val="56A83610"/>
    <w:multiLevelType w:val="hybridMultilevel"/>
    <w:tmpl w:val="F460A59C"/>
    <w:lvl w:ilvl="0" w:tplc="9C16A72C">
      <w:numFmt w:val="bullet"/>
      <w:lvlText w:val="-"/>
      <w:lvlJc w:val="left"/>
      <w:pPr>
        <w:tabs>
          <w:tab w:val="num" w:pos="720"/>
        </w:tabs>
        <w:ind w:left="720" w:hanging="360"/>
      </w:pPr>
      <w:rPr>
        <w:rFonts w:ascii="Arial Narrow" w:eastAsia="Times New Roman" w:hAnsi="Arial Narrow"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3151E3"/>
    <w:multiLevelType w:val="hybridMultilevel"/>
    <w:tmpl w:val="F83EF4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AF754E"/>
    <w:multiLevelType w:val="hybridMultilevel"/>
    <w:tmpl w:val="F21CD6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BD7232"/>
    <w:multiLevelType w:val="singleLevel"/>
    <w:tmpl w:val="4DAE85C0"/>
    <w:lvl w:ilvl="0">
      <w:start w:val="1"/>
      <w:numFmt w:val="decimal"/>
      <w:lvlText w:val="(%1)"/>
      <w:lvlJc w:val="left"/>
      <w:pPr>
        <w:tabs>
          <w:tab w:val="num" w:pos="360"/>
        </w:tabs>
        <w:ind w:left="360" w:hanging="360"/>
      </w:pPr>
      <w:rPr>
        <w:rFonts w:hint="default"/>
      </w:rPr>
    </w:lvl>
  </w:abstractNum>
  <w:abstractNum w:abstractNumId="40"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41" w15:restartNumberingAfterBreak="0">
    <w:nsid w:val="7BCD2AA6"/>
    <w:multiLevelType w:val="hybridMultilevel"/>
    <w:tmpl w:val="D6D2AE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29"/>
  </w:num>
  <w:num w:numId="5">
    <w:abstractNumId w:val="6"/>
  </w:num>
  <w:num w:numId="6">
    <w:abstractNumId w:val="4"/>
  </w:num>
  <w:num w:numId="7">
    <w:abstractNumId w:val="30"/>
  </w:num>
  <w:num w:numId="8">
    <w:abstractNumId w:val="39"/>
  </w:num>
  <w:num w:numId="9">
    <w:abstractNumId w:val="38"/>
  </w:num>
  <w:num w:numId="10">
    <w:abstractNumId w:val="12"/>
  </w:num>
  <w:num w:numId="11">
    <w:abstractNumId w:val="14"/>
  </w:num>
  <w:num w:numId="12">
    <w:abstractNumId w:val="40"/>
  </w:num>
  <w:num w:numId="13">
    <w:abstractNumId w:val="41"/>
  </w:num>
  <w:num w:numId="14">
    <w:abstractNumId w:val="26"/>
  </w:num>
  <w:num w:numId="15">
    <w:abstractNumId w:val="11"/>
  </w:num>
  <w:num w:numId="16">
    <w:abstractNumId w:val="22"/>
  </w:num>
  <w:num w:numId="17">
    <w:abstractNumId w:val="13"/>
  </w:num>
  <w:num w:numId="18">
    <w:abstractNumId w:val="23"/>
  </w:num>
  <w:num w:numId="19">
    <w:abstractNumId w:val="15"/>
  </w:num>
  <w:num w:numId="20">
    <w:abstractNumId w:val="3"/>
  </w:num>
  <w:num w:numId="21">
    <w:abstractNumId w:val="31"/>
  </w:num>
  <w:num w:numId="22">
    <w:abstractNumId w:val="34"/>
  </w:num>
  <w:num w:numId="23">
    <w:abstractNumId w:val="7"/>
  </w:num>
  <w:num w:numId="24">
    <w:abstractNumId w:val="19"/>
  </w:num>
  <w:num w:numId="25">
    <w:abstractNumId w:val="36"/>
  </w:num>
  <w:num w:numId="26">
    <w:abstractNumId w:val="24"/>
  </w:num>
  <w:num w:numId="27">
    <w:abstractNumId w:val="33"/>
  </w:num>
  <w:num w:numId="28">
    <w:abstractNumId w:val="5"/>
  </w:num>
  <w:num w:numId="29">
    <w:abstractNumId w:val="18"/>
  </w:num>
  <w:num w:numId="30">
    <w:abstractNumId w:val="32"/>
  </w:num>
  <w:num w:numId="31">
    <w:abstractNumId w:val="17"/>
  </w:num>
  <w:num w:numId="32">
    <w:abstractNumId w:val="37"/>
  </w:num>
  <w:num w:numId="33">
    <w:abstractNumId w:val="9"/>
  </w:num>
  <w:num w:numId="34">
    <w:abstractNumId w:val="25"/>
  </w:num>
  <w:num w:numId="35">
    <w:abstractNumId w:val="28"/>
  </w:num>
  <w:num w:numId="36">
    <w:abstractNumId w:val="20"/>
  </w:num>
  <w:num w:numId="37">
    <w:abstractNumId w:val="27"/>
  </w:num>
  <w:num w:numId="38">
    <w:abstractNumId w:val="35"/>
  </w:num>
  <w:num w:numId="39">
    <w:abstractNumId w:val="8"/>
  </w:num>
  <w:num w:numId="40">
    <w:abstractNumId w:val="10"/>
  </w:num>
  <w:num w:numId="41">
    <w:abstractNumId w:val="1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E46"/>
    <w:rsid w:val="000024C0"/>
    <w:rsid w:val="00007054"/>
    <w:rsid w:val="00010BDE"/>
    <w:rsid w:val="0001262F"/>
    <w:rsid w:val="0001552D"/>
    <w:rsid w:val="000201C3"/>
    <w:rsid w:val="000245A3"/>
    <w:rsid w:val="00033EAC"/>
    <w:rsid w:val="00045A24"/>
    <w:rsid w:val="000470D2"/>
    <w:rsid w:val="00050BDF"/>
    <w:rsid w:val="00055731"/>
    <w:rsid w:val="00057CC6"/>
    <w:rsid w:val="0006024A"/>
    <w:rsid w:val="00061AF1"/>
    <w:rsid w:val="00065449"/>
    <w:rsid w:val="00065BF0"/>
    <w:rsid w:val="0006619C"/>
    <w:rsid w:val="00066EA7"/>
    <w:rsid w:val="00067D1F"/>
    <w:rsid w:val="00071623"/>
    <w:rsid w:val="00077223"/>
    <w:rsid w:val="000777A3"/>
    <w:rsid w:val="000778A8"/>
    <w:rsid w:val="00077AEE"/>
    <w:rsid w:val="00077F41"/>
    <w:rsid w:val="00082F59"/>
    <w:rsid w:val="00090F03"/>
    <w:rsid w:val="00091DAF"/>
    <w:rsid w:val="00093123"/>
    <w:rsid w:val="00096B45"/>
    <w:rsid w:val="000B0392"/>
    <w:rsid w:val="000B2178"/>
    <w:rsid w:val="000B3A61"/>
    <w:rsid w:val="000B548D"/>
    <w:rsid w:val="000C3214"/>
    <w:rsid w:val="000C7614"/>
    <w:rsid w:val="000D1127"/>
    <w:rsid w:val="000D3164"/>
    <w:rsid w:val="000D74FE"/>
    <w:rsid w:val="000E098B"/>
    <w:rsid w:val="000E5A31"/>
    <w:rsid w:val="000E6B95"/>
    <w:rsid w:val="000F070F"/>
    <w:rsid w:val="000F0A70"/>
    <w:rsid w:val="000F3447"/>
    <w:rsid w:val="000F42AC"/>
    <w:rsid w:val="000F6009"/>
    <w:rsid w:val="00100764"/>
    <w:rsid w:val="00107806"/>
    <w:rsid w:val="00110BD4"/>
    <w:rsid w:val="001126E8"/>
    <w:rsid w:val="00115AAD"/>
    <w:rsid w:val="00116C1D"/>
    <w:rsid w:val="0012009C"/>
    <w:rsid w:val="00130136"/>
    <w:rsid w:val="00132C28"/>
    <w:rsid w:val="00136225"/>
    <w:rsid w:val="00140ED2"/>
    <w:rsid w:val="00144331"/>
    <w:rsid w:val="00150643"/>
    <w:rsid w:val="00152F17"/>
    <w:rsid w:val="00156592"/>
    <w:rsid w:val="001644E4"/>
    <w:rsid w:val="0017580D"/>
    <w:rsid w:val="00180CBA"/>
    <w:rsid w:val="00185110"/>
    <w:rsid w:val="001856E8"/>
    <w:rsid w:val="001903F8"/>
    <w:rsid w:val="00191278"/>
    <w:rsid w:val="00191EA0"/>
    <w:rsid w:val="00194E9A"/>
    <w:rsid w:val="00195EF9"/>
    <w:rsid w:val="00196766"/>
    <w:rsid w:val="00196FF8"/>
    <w:rsid w:val="00197191"/>
    <w:rsid w:val="00197355"/>
    <w:rsid w:val="001A4617"/>
    <w:rsid w:val="001A6E14"/>
    <w:rsid w:val="001B0085"/>
    <w:rsid w:val="001B162B"/>
    <w:rsid w:val="001C0D96"/>
    <w:rsid w:val="001C106B"/>
    <w:rsid w:val="001C3C3F"/>
    <w:rsid w:val="001C4C32"/>
    <w:rsid w:val="001C6445"/>
    <w:rsid w:val="001C6697"/>
    <w:rsid w:val="001D7156"/>
    <w:rsid w:val="001E018B"/>
    <w:rsid w:val="001E0D92"/>
    <w:rsid w:val="001E411F"/>
    <w:rsid w:val="001E5DE4"/>
    <w:rsid w:val="001F0C3B"/>
    <w:rsid w:val="001F103C"/>
    <w:rsid w:val="001F2E1F"/>
    <w:rsid w:val="001F45DE"/>
    <w:rsid w:val="001F61B3"/>
    <w:rsid w:val="0020674F"/>
    <w:rsid w:val="00207DE0"/>
    <w:rsid w:val="0022265E"/>
    <w:rsid w:val="00224FC5"/>
    <w:rsid w:val="0023008F"/>
    <w:rsid w:val="00231F18"/>
    <w:rsid w:val="0023312F"/>
    <w:rsid w:val="00235C1D"/>
    <w:rsid w:val="002431C0"/>
    <w:rsid w:val="00243D47"/>
    <w:rsid w:val="00243E7E"/>
    <w:rsid w:val="002445D5"/>
    <w:rsid w:val="002503E6"/>
    <w:rsid w:val="00251815"/>
    <w:rsid w:val="00254766"/>
    <w:rsid w:val="00254849"/>
    <w:rsid w:val="00254CBD"/>
    <w:rsid w:val="002605AA"/>
    <w:rsid w:val="00265D7D"/>
    <w:rsid w:val="00266F18"/>
    <w:rsid w:val="00270CE5"/>
    <w:rsid w:val="00271220"/>
    <w:rsid w:val="002726EF"/>
    <w:rsid w:val="00280CB9"/>
    <w:rsid w:val="002824CD"/>
    <w:rsid w:val="00295B1A"/>
    <w:rsid w:val="002975D0"/>
    <w:rsid w:val="002A1EA9"/>
    <w:rsid w:val="002B231D"/>
    <w:rsid w:val="002B4C7E"/>
    <w:rsid w:val="002B7AE1"/>
    <w:rsid w:val="002C0834"/>
    <w:rsid w:val="002C1966"/>
    <w:rsid w:val="002C5A15"/>
    <w:rsid w:val="002C61D6"/>
    <w:rsid w:val="002C6D0D"/>
    <w:rsid w:val="002D30AA"/>
    <w:rsid w:val="002D7573"/>
    <w:rsid w:val="002E1282"/>
    <w:rsid w:val="002E31A2"/>
    <w:rsid w:val="002F4E62"/>
    <w:rsid w:val="002F68ED"/>
    <w:rsid w:val="002F6DDD"/>
    <w:rsid w:val="00300C5F"/>
    <w:rsid w:val="00305D42"/>
    <w:rsid w:val="00312BF1"/>
    <w:rsid w:val="0031709B"/>
    <w:rsid w:val="00321DCC"/>
    <w:rsid w:val="00322448"/>
    <w:rsid w:val="0032386B"/>
    <w:rsid w:val="003439AA"/>
    <w:rsid w:val="00346C18"/>
    <w:rsid w:val="00360728"/>
    <w:rsid w:val="00365F69"/>
    <w:rsid w:val="00372F12"/>
    <w:rsid w:val="00376C9B"/>
    <w:rsid w:val="003849AE"/>
    <w:rsid w:val="00387F72"/>
    <w:rsid w:val="0039034C"/>
    <w:rsid w:val="003904E6"/>
    <w:rsid w:val="00391657"/>
    <w:rsid w:val="00391F84"/>
    <w:rsid w:val="003A127E"/>
    <w:rsid w:val="003A2F00"/>
    <w:rsid w:val="003B4161"/>
    <w:rsid w:val="003B497C"/>
    <w:rsid w:val="003B4C89"/>
    <w:rsid w:val="003B5830"/>
    <w:rsid w:val="003B5FA9"/>
    <w:rsid w:val="003B657D"/>
    <w:rsid w:val="003B6D94"/>
    <w:rsid w:val="003C06CF"/>
    <w:rsid w:val="003C126D"/>
    <w:rsid w:val="003C2326"/>
    <w:rsid w:val="003C4777"/>
    <w:rsid w:val="003C7007"/>
    <w:rsid w:val="003E08C8"/>
    <w:rsid w:val="003E6238"/>
    <w:rsid w:val="003E7E37"/>
    <w:rsid w:val="003F01E4"/>
    <w:rsid w:val="003F3158"/>
    <w:rsid w:val="003F5BEF"/>
    <w:rsid w:val="003F7DA0"/>
    <w:rsid w:val="0040707E"/>
    <w:rsid w:val="004131A8"/>
    <w:rsid w:val="00415A1D"/>
    <w:rsid w:val="004173FC"/>
    <w:rsid w:val="004219A1"/>
    <w:rsid w:val="00425019"/>
    <w:rsid w:val="0044023F"/>
    <w:rsid w:val="00446237"/>
    <w:rsid w:val="00455CCD"/>
    <w:rsid w:val="00456A22"/>
    <w:rsid w:val="00456BA7"/>
    <w:rsid w:val="0046003B"/>
    <w:rsid w:val="004624B7"/>
    <w:rsid w:val="00463F6A"/>
    <w:rsid w:val="00465079"/>
    <w:rsid w:val="00474E1D"/>
    <w:rsid w:val="00476E80"/>
    <w:rsid w:val="00487E5D"/>
    <w:rsid w:val="0049161C"/>
    <w:rsid w:val="004923C7"/>
    <w:rsid w:val="004927A4"/>
    <w:rsid w:val="004A0162"/>
    <w:rsid w:val="004A0F2C"/>
    <w:rsid w:val="004A1F46"/>
    <w:rsid w:val="004A4021"/>
    <w:rsid w:val="004A543E"/>
    <w:rsid w:val="004A7012"/>
    <w:rsid w:val="004B2D1F"/>
    <w:rsid w:val="004B7A9D"/>
    <w:rsid w:val="004C02DB"/>
    <w:rsid w:val="004C2DA5"/>
    <w:rsid w:val="004C58F6"/>
    <w:rsid w:val="004D2CB1"/>
    <w:rsid w:val="004D4C56"/>
    <w:rsid w:val="004D70E6"/>
    <w:rsid w:val="004F5911"/>
    <w:rsid w:val="004F7B9E"/>
    <w:rsid w:val="00501361"/>
    <w:rsid w:val="00501CD5"/>
    <w:rsid w:val="00503CB8"/>
    <w:rsid w:val="00506CAD"/>
    <w:rsid w:val="00507D46"/>
    <w:rsid w:val="00512567"/>
    <w:rsid w:val="00513279"/>
    <w:rsid w:val="00516BFA"/>
    <w:rsid w:val="00517924"/>
    <w:rsid w:val="00526409"/>
    <w:rsid w:val="00530AD8"/>
    <w:rsid w:val="00540034"/>
    <w:rsid w:val="0054055F"/>
    <w:rsid w:val="0054459C"/>
    <w:rsid w:val="005455F8"/>
    <w:rsid w:val="00545AF9"/>
    <w:rsid w:val="005507FE"/>
    <w:rsid w:val="00555D6F"/>
    <w:rsid w:val="005572CC"/>
    <w:rsid w:val="00560EC3"/>
    <w:rsid w:val="005617DA"/>
    <w:rsid w:val="005624FC"/>
    <w:rsid w:val="00567B52"/>
    <w:rsid w:val="00571941"/>
    <w:rsid w:val="0057313E"/>
    <w:rsid w:val="005806B5"/>
    <w:rsid w:val="0058713E"/>
    <w:rsid w:val="00592844"/>
    <w:rsid w:val="00594F2B"/>
    <w:rsid w:val="005A3126"/>
    <w:rsid w:val="005A4A03"/>
    <w:rsid w:val="005A4C42"/>
    <w:rsid w:val="005A5B4C"/>
    <w:rsid w:val="005B3025"/>
    <w:rsid w:val="005B6486"/>
    <w:rsid w:val="005B7591"/>
    <w:rsid w:val="005C38DA"/>
    <w:rsid w:val="005C442A"/>
    <w:rsid w:val="005C4FA3"/>
    <w:rsid w:val="005C5E3B"/>
    <w:rsid w:val="005C65D5"/>
    <w:rsid w:val="005F13B9"/>
    <w:rsid w:val="00600C8C"/>
    <w:rsid w:val="0061039A"/>
    <w:rsid w:val="006136D5"/>
    <w:rsid w:val="0061710E"/>
    <w:rsid w:val="00620192"/>
    <w:rsid w:val="006210C8"/>
    <w:rsid w:val="00623E7C"/>
    <w:rsid w:val="00625772"/>
    <w:rsid w:val="00632EC4"/>
    <w:rsid w:val="006342DB"/>
    <w:rsid w:val="00635723"/>
    <w:rsid w:val="00641904"/>
    <w:rsid w:val="00645204"/>
    <w:rsid w:val="00650FCE"/>
    <w:rsid w:val="006513E9"/>
    <w:rsid w:val="0065204C"/>
    <w:rsid w:val="00664120"/>
    <w:rsid w:val="00666C23"/>
    <w:rsid w:val="006741B9"/>
    <w:rsid w:val="00676E35"/>
    <w:rsid w:val="006800D1"/>
    <w:rsid w:val="0068084B"/>
    <w:rsid w:val="006844CE"/>
    <w:rsid w:val="00687AE8"/>
    <w:rsid w:val="006910F8"/>
    <w:rsid w:val="00692A0A"/>
    <w:rsid w:val="006A1E3E"/>
    <w:rsid w:val="006A3103"/>
    <w:rsid w:val="006B1DA1"/>
    <w:rsid w:val="006B52F6"/>
    <w:rsid w:val="006D0390"/>
    <w:rsid w:val="006D2264"/>
    <w:rsid w:val="006D261D"/>
    <w:rsid w:val="006D7F82"/>
    <w:rsid w:val="006E02D5"/>
    <w:rsid w:val="006E30AF"/>
    <w:rsid w:val="006E4975"/>
    <w:rsid w:val="006F0E41"/>
    <w:rsid w:val="006F23BA"/>
    <w:rsid w:val="006F2BEC"/>
    <w:rsid w:val="006F3996"/>
    <w:rsid w:val="006F3BE9"/>
    <w:rsid w:val="00701FF8"/>
    <w:rsid w:val="00704D73"/>
    <w:rsid w:val="00704E1F"/>
    <w:rsid w:val="00705AE5"/>
    <w:rsid w:val="0072131D"/>
    <w:rsid w:val="00730D13"/>
    <w:rsid w:val="00731635"/>
    <w:rsid w:val="00732DDF"/>
    <w:rsid w:val="007331EA"/>
    <w:rsid w:val="00740D34"/>
    <w:rsid w:val="00741723"/>
    <w:rsid w:val="00742263"/>
    <w:rsid w:val="00746EAE"/>
    <w:rsid w:val="00757202"/>
    <w:rsid w:val="007613B7"/>
    <w:rsid w:val="00765D3D"/>
    <w:rsid w:val="0076698E"/>
    <w:rsid w:val="00771EC3"/>
    <w:rsid w:val="00772473"/>
    <w:rsid w:val="007837FD"/>
    <w:rsid w:val="00784FD0"/>
    <w:rsid w:val="00795332"/>
    <w:rsid w:val="007967C6"/>
    <w:rsid w:val="007A09CB"/>
    <w:rsid w:val="007A4B08"/>
    <w:rsid w:val="007A5288"/>
    <w:rsid w:val="007A6C50"/>
    <w:rsid w:val="007B1A06"/>
    <w:rsid w:val="007B7C34"/>
    <w:rsid w:val="007C16D1"/>
    <w:rsid w:val="007C4A2C"/>
    <w:rsid w:val="007C6D05"/>
    <w:rsid w:val="007D07F2"/>
    <w:rsid w:val="007D3674"/>
    <w:rsid w:val="007D5BFE"/>
    <w:rsid w:val="007E30AA"/>
    <w:rsid w:val="007E6EA1"/>
    <w:rsid w:val="007F00AA"/>
    <w:rsid w:val="007F1F61"/>
    <w:rsid w:val="007F2F85"/>
    <w:rsid w:val="007F44BC"/>
    <w:rsid w:val="007F46BF"/>
    <w:rsid w:val="007F5BCB"/>
    <w:rsid w:val="0080306C"/>
    <w:rsid w:val="0080336E"/>
    <w:rsid w:val="008060BA"/>
    <w:rsid w:val="008060EA"/>
    <w:rsid w:val="008147CB"/>
    <w:rsid w:val="00822E00"/>
    <w:rsid w:val="008310B3"/>
    <w:rsid w:val="008336FE"/>
    <w:rsid w:val="00835EA3"/>
    <w:rsid w:val="00841276"/>
    <w:rsid w:val="008471FA"/>
    <w:rsid w:val="00857405"/>
    <w:rsid w:val="0086215C"/>
    <w:rsid w:val="0086379E"/>
    <w:rsid w:val="0088098A"/>
    <w:rsid w:val="00882CB7"/>
    <w:rsid w:val="008837CA"/>
    <w:rsid w:val="008961F9"/>
    <w:rsid w:val="008964CF"/>
    <w:rsid w:val="00897C39"/>
    <w:rsid w:val="008A141D"/>
    <w:rsid w:val="008A36F8"/>
    <w:rsid w:val="008A6E46"/>
    <w:rsid w:val="008B3AB9"/>
    <w:rsid w:val="008B4638"/>
    <w:rsid w:val="008B4C53"/>
    <w:rsid w:val="008B61CE"/>
    <w:rsid w:val="008C423A"/>
    <w:rsid w:val="008C474F"/>
    <w:rsid w:val="008C4EB8"/>
    <w:rsid w:val="008C6FE8"/>
    <w:rsid w:val="008D29FE"/>
    <w:rsid w:val="008E0314"/>
    <w:rsid w:val="008E2D35"/>
    <w:rsid w:val="008F0F4D"/>
    <w:rsid w:val="008F4F65"/>
    <w:rsid w:val="00900AC3"/>
    <w:rsid w:val="00900B01"/>
    <w:rsid w:val="0090389C"/>
    <w:rsid w:val="00903C3A"/>
    <w:rsid w:val="00910D60"/>
    <w:rsid w:val="00912613"/>
    <w:rsid w:val="009159E1"/>
    <w:rsid w:val="00917D62"/>
    <w:rsid w:val="009263EF"/>
    <w:rsid w:val="009264D9"/>
    <w:rsid w:val="00931317"/>
    <w:rsid w:val="009413C1"/>
    <w:rsid w:val="009414CC"/>
    <w:rsid w:val="009434C5"/>
    <w:rsid w:val="0094469C"/>
    <w:rsid w:val="009446DA"/>
    <w:rsid w:val="00946004"/>
    <w:rsid w:val="0094688E"/>
    <w:rsid w:val="009475E2"/>
    <w:rsid w:val="009534D9"/>
    <w:rsid w:val="009604D1"/>
    <w:rsid w:val="00960805"/>
    <w:rsid w:val="00967485"/>
    <w:rsid w:val="00967D02"/>
    <w:rsid w:val="0097411C"/>
    <w:rsid w:val="009767F6"/>
    <w:rsid w:val="009834DA"/>
    <w:rsid w:val="009872B6"/>
    <w:rsid w:val="009877A7"/>
    <w:rsid w:val="00995C68"/>
    <w:rsid w:val="009969D3"/>
    <w:rsid w:val="00997539"/>
    <w:rsid w:val="009A0B20"/>
    <w:rsid w:val="009A0B3B"/>
    <w:rsid w:val="009A2C47"/>
    <w:rsid w:val="009A3E98"/>
    <w:rsid w:val="009A5CC6"/>
    <w:rsid w:val="009B4267"/>
    <w:rsid w:val="009B4CF1"/>
    <w:rsid w:val="009B7F08"/>
    <w:rsid w:val="009C0205"/>
    <w:rsid w:val="009C5D9E"/>
    <w:rsid w:val="009C70B0"/>
    <w:rsid w:val="009C7F65"/>
    <w:rsid w:val="009D08FC"/>
    <w:rsid w:val="009E3834"/>
    <w:rsid w:val="009F31A8"/>
    <w:rsid w:val="009F6E29"/>
    <w:rsid w:val="00A0340D"/>
    <w:rsid w:val="00A178E6"/>
    <w:rsid w:val="00A23828"/>
    <w:rsid w:val="00A25A2F"/>
    <w:rsid w:val="00A25DCD"/>
    <w:rsid w:val="00A33E3C"/>
    <w:rsid w:val="00A43DD6"/>
    <w:rsid w:val="00A43E7A"/>
    <w:rsid w:val="00A452F5"/>
    <w:rsid w:val="00A47879"/>
    <w:rsid w:val="00A51CEC"/>
    <w:rsid w:val="00A52787"/>
    <w:rsid w:val="00A530F0"/>
    <w:rsid w:val="00A55757"/>
    <w:rsid w:val="00A60641"/>
    <w:rsid w:val="00A63A76"/>
    <w:rsid w:val="00A64BEC"/>
    <w:rsid w:val="00A660D9"/>
    <w:rsid w:val="00A67CB8"/>
    <w:rsid w:val="00A708E0"/>
    <w:rsid w:val="00A71281"/>
    <w:rsid w:val="00A76EC4"/>
    <w:rsid w:val="00A85263"/>
    <w:rsid w:val="00A85321"/>
    <w:rsid w:val="00A86537"/>
    <w:rsid w:val="00A86ACB"/>
    <w:rsid w:val="00A86C65"/>
    <w:rsid w:val="00A86CF3"/>
    <w:rsid w:val="00A87BF8"/>
    <w:rsid w:val="00A92279"/>
    <w:rsid w:val="00A92F65"/>
    <w:rsid w:val="00A97846"/>
    <w:rsid w:val="00AA392C"/>
    <w:rsid w:val="00AA41D2"/>
    <w:rsid w:val="00AA644D"/>
    <w:rsid w:val="00AB3DC9"/>
    <w:rsid w:val="00AB525A"/>
    <w:rsid w:val="00AB6803"/>
    <w:rsid w:val="00AC4039"/>
    <w:rsid w:val="00AD23D8"/>
    <w:rsid w:val="00AD3048"/>
    <w:rsid w:val="00AD3D37"/>
    <w:rsid w:val="00AD5850"/>
    <w:rsid w:val="00AD688E"/>
    <w:rsid w:val="00AE3E07"/>
    <w:rsid w:val="00AE47A5"/>
    <w:rsid w:val="00AF032B"/>
    <w:rsid w:val="00AF0C7D"/>
    <w:rsid w:val="00AF3241"/>
    <w:rsid w:val="00AF3CB4"/>
    <w:rsid w:val="00AF53F5"/>
    <w:rsid w:val="00B011B9"/>
    <w:rsid w:val="00B03A75"/>
    <w:rsid w:val="00B0660C"/>
    <w:rsid w:val="00B14256"/>
    <w:rsid w:val="00B144AD"/>
    <w:rsid w:val="00B21AE4"/>
    <w:rsid w:val="00B2292B"/>
    <w:rsid w:val="00B23EAA"/>
    <w:rsid w:val="00B24A16"/>
    <w:rsid w:val="00B253AE"/>
    <w:rsid w:val="00B254CE"/>
    <w:rsid w:val="00B42A87"/>
    <w:rsid w:val="00B4522F"/>
    <w:rsid w:val="00B462F5"/>
    <w:rsid w:val="00B517D9"/>
    <w:rsid w:val="00B5538A"/>
    <w:rsid w:val="00B60A77"/>
    <w:rsid w:val="00B610BC"/>
    <w:rsid w:val="00B6357C"/>
    <w:rsid w:val="00B65242"/>
    <w:rsid w:val="00B729BB"/>
    <w:rsid w:val="00B73B91"/>
    <w:rsid w:val="00B7557A"/>
    <w:rsid w:val="00B75843"/>
    <w:rsid w:val="00B918EE"/>
    <w:rsid w:val="00B92B30"/>
    <w:rsid w:val="00B94C30"/>
    <w:rsid w:val="00BA120E"/>
    <w:rsid w:val="00BA2770"/>
    <w:rsid w:val="00BA6057"/>
    <w:rsid w:val="00BA70D6"/>
    <w:rsid w:val="00BB25A4"/>
    <w:rsid w:val="00BB4F2C"/>
    <w:rsid w:val="00BB707C"/>
    <w:rsid w:val="00BC0BFC"/>
    <w:rsid w:val="00BC5176"/>
    <w:rsid w:val="00BD6DF0"/>
    <w:rsid w:val="00BE1ED0"/>
    <w:rsid w:val="00BE5C01"/>
    <w:rsid w:val="00BE6124"/>
    <w:rsid w:val="00BF116C"/>
    <w:rsid w:val="00BF37D1"/>
    <w:rsid w:val="00C0060A"/>
    <w:rsid w:val="00C02B95"/>
    <w:rsid w:val="00C04CF8"/>
    <w:rsid w:val="00C04E01"/>
    <w:rsid w:val="00C04E88"/>
    <w:rsid w:val="00C04FAC"/>
    <w:rsid w:val="00C112A8"/>
    <w:rsid w:val="00C26503"/>
    <w:rsid w:val="00C35C6B"/>
    <w:rsid w:val="00C37286"/>
    <w:rsid w:val="00C37DA6"/>
    <w:rsid w:val="00C40F24"/>
    <w:rsid w:val="00C51FEC"/>
    <w:rsid w:val="00C56A32"/>
    <w:rsid w:val="00C60BC1"/>
    <w:rsid w:val="00C651D9"/>
    <w:rsid w:val="00C65321"/>
    <w:rsid w:val="00C67D02"/>
    <w:rsid w:val="00C80853"/>
    <w:rsid w:val="00C91792"/>
    <w:rsid w:val="00C946EB"/>
    <w:rsid w:val="00C94E07"/>
    <w:rsid w:val="00CA3A11"/>
    <w:rsid w:val="00CA3F0D"/>
    <w:rsid w:val="00CB2DDA"/>
    <w:rsid w:val="00CB5A98"/>
    <w:rsid w:val="00CB7596"/>
    <w:rsid w:val="00CC4EC0"/>
    <w:rsid w:val="00CD13F7"/>
    <w:rsid w:val="00CD566D"/>
    <w:rsid w:val="00CD5735"/>
    <w:rsid w:val="00CD5F14"/>
    <w:rsid w:val="00CD63BA"/>
    <w:rsid w:val="00CE0C13"/>
    <w:rsid w:val="00CE2215"/>
    <w:rsid w:val="00CE3F39"/>
    <w:rsid w:val="00CE5814"/>
    <w:rsid w:val="00CF6A14"/>
    <w:rsid w:val="00CF792E"/>
    <w:rsid w:val="00D01865"/>
    <w:rsid w:val="00D01C62"/>
    <w:rsid w:val="00D0365B"/>
    <w:rsid w:val="00D03E0C"/>
    <w:rsid w:val="00D0639D"/>
    <w:rsid w:val="00D109F4"/>
    <w:rsid w:val="00D15487"/>
    <w:rsid w:val="00D15496"/>
    <w:rsid w:val="00D1721E"/>
    <w:rsid w:val="00D21B90"/>
    <w:rsid w:val="00D2434D"/>
    <w:rsid w:val="00D30493"/>
    <w:rsid w:val="00D30615"/>
    <w:rsid w:val="00D33B29"/>
    <w:rsid w:val="00D35A86"/>
    <w:rsid w:val="00D42369"/>
    <w:rsid w:val="00D44581"/>
    <w:rsid w:val="00D53A4B"/>
    <w:rsid w:val="00D5606C"/>
    <w:rsid w:val="00D638AA"/>
    <w:rsid w:val="00D64E52"/>
    <w:rsid w:val="00D76925"/>
    <w:rsid w:val="00D77DA0"/>
    <w:rsid w:val="00D77F77"/>
    <w:rsid w:val="00D85E04"/>
    <w:rsid w:val="00D86358"/>
    <w:rsid w:val="00D921C6"/>
    <w:rsid w:val="00D93347"/>
    <w:rsid w:val="00D94445"/>
    <w:rsid w:val="00DA0DC4"/>
    <w:rsid w:val="00DA2A9F"/>
    <w:rsid w:val="00DA3C98"/>
    <w:rsid w:val="00DA56DF"/>
    <w:rsid w:val="00DA6632"/>
    <w:rsid w:val="00DA6B68"/>
    <w:rsid w:val="00DB32DC"/>
    <w:rsid w:val="00DB458A"/>
    <w:rsid w:val="00DB47B6"/>
    <w:rsid w:val="00DB4C2A"/>
    <w:rsid w:val="00DB66B6"/>
    <w:rsid w:val="00DC087D"/>
    <w:rsid w:val="00DC0982"/>
    <w:rsid w:val="00DC3E04"/>
    <w:rsid w:val="00DD43F1"/>
    <w:rsid w:val="00DD5CAA"/>
    <w:rsid w:val="00DD62DA"/>
    <w:rsid w:val="00DD66FF"/>
    <w:rsid w:val="00DE2DCB"/>
    <w:rsid w:val="00DE4DD1"/>
    <w:rsid w:val="00DE5DA9"/>
    <w:rsid w:val="00DF790A"/>
    <w:rsid w:val="00DF7D17"/>
    <w:rsid w:val="00E00404"/>
    <w:rsid w:val="00E00E85"/>
    <w:rsid w:val="00E013DC"/>
    <w:rsid w:val="00E0230A"/>
    <w:rsid w:val="00E25628"/>
    <w:rsid w:val="00E25809"/>
    <w:rsid w:val="00E27BA7"/>
    <w:rsid w:val="00E41B6D"/>
    <w:rsid w:val="00E4287F"/>
    <w:rsid w:val="00E45FB9"/>
    <w:rsid w:val="00E461BF"/>
    <w:rsid w:val="00E47126"/>
    <w:rsid w:val="00E53DA8"/>
    <w:rsid w:val="00E6249A"/>
    <w:rsid w:val="00E62E41"/>
    <w:rsid w:val="00E63364"/>
    <w:rsid w:val="00E67BCA"/>
    <w:rsid w:val="00E70FF3"/>
    <w:rsid w:val="00E77C21"/>
    <w:rsid w:val="00E86EAC"/>
    <w:rsid w:val="00E9222A"/>
    <w:rsid w:val="00E94B2F"/>
    <w:rsid w:val="00E9798F"/>
    <w:rsid w:val="00EA0DC0"/>
    <w:rsid w:val="00EA2B5B"/>
    <w:rsid w:val="00EB2F23"/>
    <w:rsid w:val="00EB34AD"/>
    <w:rsid w:val="00EB4C61"/>
    <w:rsid w:val="00EB7648"/>
    <w:rsid w:val="00EB7CFC"/>
    <w:rsid w:val="00EC5494"/>
    <w:rsid w:val="00ED59F1"/>
    <w:rsid w:val="00EE3A50"/>
    <w:rsid w:val="00EE5F78"/>
    <w:rsid w:val="00EE7D3C"/>
    <w:rsid w:val="00EF06BB"/>
    <w:rsid w:val="00EF329E"/>
    <w:rsid w:val="00EF670B"/>
    <w:rsid w:val="00F00C5B"/>
    <w:rsid w:val="00F02324"/>
    <w:rsid w:val="00F042D8"/>
    <w:rsid w:val="00F0757D"/>
    <w:rsid w:val="00F156C2"/>
    <w:rsid w:val="00F1679A"/>
    <w:rsid w:val="00F17CDA"/>
    <w:rsid w:val="00F23D1A"/>
    <w:rsid w:val="00F25831"/>
    <w:rsid w:val="00F27057"/>
    <w:rsid w:val="00F33D07"/>
    <w:rsid w:val="00F44417"/>
    <w:rsid w:val="00F50355"/>
    <w:rsid w:val="00F514DA"/>
    <w:rsid w:val="00F53643"/>
    <w:rsid w:val="00F56FE9"/>
    <w:rsid w:val="00F57031"/>
    <w:rsid w:val="00F6537C"/>
    <w:rsid w:val="00F65397"/>
    <w:rsid w:val="00F65528"/>
    <w:rsid w:val="00F65C56"/>
    <w:rsid w:val="00F671B5"/>
    <w:rsid w:val="00F756C5"/>
    <w:rsid w:val="00F80082"/>
    <w:rsid w:val="00F8138A"/>
    <w:rsid w:val="00F877EF"/>
    <w:rsid w:val="00F879BB"/>
    <w:rsid w:val="00F93818"/>
    <w:rsid w:val="00F95399"/>
    <w:rsid w:val="00F95572"/>
    <w:rsid w:val="00F977F1"/>
    <w:rsid w:val="00FA210D"/>
    <w:rsid w:val="00FA55B4"/>
    <w:rsid w:val="00FA65F8"/>
    <w:rsid w:val="00FB1C89"/>
    <w:rsid w:val="00FB1F70"/>
    <w:rsid w:val="00FC500F"/>
    <w:rsid w:val="00FC6939"/>
    <w:rsid w:val="00FE1F79"/>
    <w:rsid w:val="00FE378D"/>
    <w:rsid w:val="00FE5467"/>
    <w:rsid w:val="00FF1DC9"/>
    <w:rsid w:val="00FF3704"/>
    <w:rsid w:val="00FF56DD"/>
    <w:rsid w:val="00FF6E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B00486"/>
  <w15:docId w15:val="{46D532D3-884C-4534-976D-3DB623CF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7D02"/>
    <w:rPr>
      <w:sz w:val="24"/>
      <w:lang w:val="fr-CA" w:eastAsia="es-ES"/>
    </w:rPr>
  </w:style>
  <w:style w:type="paragraph" w:styleId="Heading1">
    <w:name w:val="heading 1"/>
    <w:basedOn w:val="Normal"/>
    <w:next w:val="Normal"/>
    <w:qFormat/>
    <w:pPr>
      <w:keepNext/>
      <w:numPr>
        <w:numId w:val="4"/>
      </w:numPr>
      <w:ind w:right="850"/>
      <w:jc w:val="both"/>
      <w:outlineLvl w:val="0"/>
    </w:pPr>
    <w:rPr>
      <w:rFonts w:ascii="Arial Narrow" w:hAnsi="Arial Narrow"/>
      <w:b/>
      <w:sz w:val="22"/>
      <w:lang w:val="es-ES_tradnl"/>
    </w:rPr>
  </w:style>
  <w:style w:type="paragraph" w:styleId="Heading2">
    <w:name w:val="heading 2"/>
    <w:basedOn w:val="Normal"/>
    <w:next w:val="Normal"/>
    <w:qFormat/>
    <w:pPr>
      <w:keepNext/>
      <w:numPr>
        <w:ilvl w:val="1"/>
        <w:numId w:val="4"/>
      </w:numPr>
      <w:ind w:right="-1"/>
      <w:jc w:val="both"/>
      <w:outlineLvl w:val="1"/>
    </w:pPr>
    <w:rPr>
      <w:rFonts w:ascii="Arial Narrow" w:hAnsi="Arial Narrow"/>
      <w:b/>
      <w:sz w:val="20"/>
      <w:lang w:val="es-ES_tradnl"/>
    </w:rPr>
  </w:style>
  <w:style w:type="paragraph" w:styleId="Heading3">
    <w:name w:val="heading 3"/>
    <w:basedOn w:val="Normal"/>
    <w:next w:val="Normal"/>
    <w:qFormat/>
    <w:pPr>
      <w:keepNext/>
      <w:numPr>
        <w:ilvl w:val="2"/>
        <w:numId w:val="4"/>
      </w:numPr>
      <w:spacing w:before="240" w:after="60"/>
      <w:outlineLvl w:val="2"/>
    </w:pPr>
    <w:rPr>
      <w:rFonts w:ascii="Arial" w:hAnsi="Arial"/>
      <w:lang w:val="es-ES_tradnl"/>
    </w:rPr>
  </w:style>
  <w:style w:type="paragraph" w:styleId="Heading4">
    <w:name w:val="heading 4"/>
    <w:basedOn w:val="Normal"/>
    <w:next w:val="Normal"/>
    <w:qFormat/>
    <w:pPr>
      <w:keepNext/>
      <w:numPr>
        <w:ilvl w:val="3"/>
        <w:numId w:val="4"/>
      </w:numPr>
      <w:outlineLvl w:val="3"/>
    </w:pPr>
    <w:rPr>
      <w:rFonts w:ascii="Arial Narrow" w:hAnsi="Arial Narrow"/>
      <w:b/>
      <w:sz w:val="20"/>
      <w:lang w:val="es-ES"/>
    </w:rPr>
  </w:style>
  <w:style w:type="paragraph" w:styleId="Heading5">
    <w:name w:val="heading 5"/>
    <w:basedOn w:val="Normal"/>
    <w:next w:val="Normal"/>
    <w:qFormat/>
    <w:pPr>
      <w:keepNext/>
      <w:numPr>
        <w:ilvl w:val="4"/>
        <w:numId w:val="4"/>
      </w:numPr>
      <w:outlineLvl w:val="4"/>
    </w:pPr>
    <w:rPr>
      <w:rFonts w:ascii="Arial Narrow" w:hAnsi="Arial Narrow"/>
      <w:b/>
      <w:sz w:val="16"/>
      <w:lang w:val="es-ES"/>
    </w:rPr>
  </w:style>
  <w:style w:type="paragraph" w:styleId="Heading6">
    <w:name w:val="heading 6"/>
    <w:basedOn w:val="Normal"/>
    <w:next w:val="Normal"/>
    <w:qFormat/>
    <w:pPr>
      <w:numPr>
        <w:ilvl w:val="5"/>
        <w:numId w:val="4"/>
      </w:numPr>
      <w:spacing w:before="240" w:after="60"/>
      <w:outlineLvl w:val="5"/>
    </w:pPr>
    <w:rPr>
      <w:i/>
      <w:sz w:val="22"/>
      <w:lang w:val="es-ES_tradnl"/>
    </w:rPr>
  </w:style>
  <w:style w:type="paragraph" w:styleId="Heading7">
    <w:name w:val="heading 7"/>
    <w:basedOn w:val="Normal"/>
    <w:next w:val="Normal"/>
    <w:qFormat/>
    <w:pPr>
      <w:numPr>
        <w:ilvl w:val="6"/>
        <w:numId w:val="4"/>
      </w:numPr>
      <w:spacing w:before="240" w:after="60"/>
      <w:outlineLvl w:val="6"/>
    </w:pPr>
    <w:rPr>
      <w:rFonts w:ascii="Arial" w:hAnsi="Arial"/>
      <w:sz w:val="20"/>
      <w:lang w:val="es-ES_tradnl"/>
    </w:rPr>
  </w:style>
  <w:style w:type="paragraph" w:styleId="Heading8">
    <w:name w:val="heading 8"/>
    <w:basedOn w:val="Normal"/>
    <w:next w:val="Normal"/>
    <w:qFormat/>
    <w:pPr>
      <w:numPr>
        <w:ilvl w:val="7"/>
        <w:numId w:val="4"/>
      </w:numPr>
      <w:spacing w:before="240" w:after="60"/>
      <w:outlineLvl w:val="7"/>
    </w:pPr>
    <w:rPr>
      <w:rFonts w:ascii="Arial" w:hAnsi="Arial"/>
      <w:i/>
      <w:sz w:val="20"/>
      <w:lang w:val="es-ES_tradnl"/>
    </w:rPr>
  </w:style>
  <w:style w:type="paragraph" w:styleId="Heading9">
    <w:name w:val="heading 9"/>
    <w:basedOn w:val="Normal"/>
    <w:next w:val="Normal"/>
    <w:qFormat/>
    <w:pPr>
      <w:keepNext/>
      <w:numPr>
        <w:ilvl w:val="8"/>
        <w:numId w:val="4"/>
      </w:numPr>
      <w:pBdr>
        <w:top w:val="single" w:sz="4" w:space="1" w:color="auto"/>
      </w:pBdr>
      <w:outlineLvl w:val="8"/>
    </w:pPr>
    <w:rPr>
      <w:rFonts w:ascii="Arial Narrow" w:hAnsi="Arial Narrow"/>
      <w:sz w:val="36"/>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rial" w:hAnsi="Arial"/>
      <w:sz w:val="20"/>
      <w:lang w:val="es-ES_tradnl"/>
    </w:rPr>
  </w:style>
  <w:style w:type="paragraph" w:styleId="ListBullet2">
    <w:name w:val="List Bullet 2"/>
    <w:basedOn w:val="Normal"/>
    <w:autoRedefine/>
    <w:pPr>
      <w:numPr>
        <w:numId w:val="2"/>
      </w:numPr>
    </w:pPr>
    <w:rPr>
      <w:rFonts w:ascii="Arial" w:hAnsi="Arial"/>
      <w:sz w:val="20"/>
      <w:lang w:val="es-ES_tradnl"/>
    </w:rPr>
  </w:style>
  <w:style w:type="paragraph" w:styleId="ListBullet4">
    <w:name w:val="List Bullet 4"/>
    <w:basedOn w:val="Normal"/>
    <w:autoRedefine/>
    <w:pPr>
      <w:numPr>
        <w:numId w:val="3"/>
      </w:numPr>
    </w:pPr>
    <w:rPr>
      <w:rFonts w:ascii="Arial" w:hAnsi="Arial"/>
      <w:sz w:val="20"/>
      <w:lang w:val="es-ES_tradnl"/>
    </w:rPr>
  </w:style>
  <w:style w:type="paragraph" w:styleId="Footer">
    <w:name w:val="footer"/>
    <w:basedOn w:val="Normal"/>
    <w:link w:val="FooterChar"/>
    <w:uiPriority w:val="99"/>
    <w:pPr>
      <w:tabs>
        <w:tab w:val="center" w:pos="4252"/>
        <w:tab w:val="right" w:pos="8504"/>
      </w:tabs>
    </w:pPr>
    <w:rPr>
      <w:sz w:val="20"/>
      <w:lang w:val="es-ES_tradnl"/>
    </w:rPr>
  </w:style>
  <w:style w:type="character" w:styleId="PageNumber">
    <w:name w:val="page number"/>
    <w:basedOn w:val="DefaultParagraphFont"/>
  </w:style>
  <w:style w:type="paragraph" w:styleId="BodyText">
    <w:name w:val="Body Text"/>
    <w:basedOn w:val="Normal"/>
    <w:pPr>
      <w:ind w:right="-1"/>
      <w:jc w:val="both"/>
      <w:outlineLvl w:val="0"/>
    </w:pPr>
    <w:rPr>
      <w:rFonts w:ascii="Arial Narrow" w:hAnsi="Arial Narrow"/>
      <w:color w:val="FF0000"/>
      <w:spacing w:val="-3"/>
      <w:u w:val="single"/>
      <w:lang w:val="es-ES_tradnl"/>
    </w:rPr>
  </w:style>
  <w:style w:type="paragraph" w:styleId="BodyText2">
    <w:name w:val="Body Text 2"/>
    <w:basedOn w:val="Normal"/>
    <w:pPr>
      <w:ind w:right="-1"/>
      <w:jc w:val="both"/>
      <w:outlineLvl w:val="0"/>
    </w:pPr>
    <w:rPr>
      <w:rFonts w:ascii="Arial Narrow" w:hAnsi="Arial Narrow"/>
      <w:color w:val="000000"/>
      <w:lang w:val="es-ES_tradnl"/>
    </w:rPr>
  </w:style>
  <w:style w:type="paragraph" w:styleId="BodyText3">
    <w:name w:val="Body Text 3"/>
    <w:basedOn w:val="Normal"/>
    <w:pPr>
      <w:ind w:right="-1"/>
      <w:jc w:val="both"/>
      <w:outlineLvl w:val="0"/>
    </w:pPr>
    <w:rPr>
      <w:rFonts w:ascii="Arial Narrow" w:hAnsi="Arial Narrow"/>
      <w:b/>
      <w:color w:val="000000"/>
      <w:lang w:val="es-ES_tradnl"/>
    </w:rPr>
  </w:style>
  <w:style w:type="paragraph" w:styleId="Caption">
    <w:name w:val="caption"/>
    <w:basedOn w:val="Normal"/>
    <w:next w:val="Normal"/>
    <w:qFormat/>
    <w:rsid w:val="008A6E46"/>
    <w:pPr>
      <w:spacing w:before="120" w:after="120"/>
    </w:pPr>
    <w:rPr>
      <w:b/>
      <w:bCs/>
      <w:sz w:val="20"/>
      <w:lang w:val="es-ES"/>
    </w:rPr>
  </w:style>
  <w:style w:type="paragraph" w:styleId="BlockText">
    <w:name w:val="Block Text"/>
    <w:basedOn w:val="Normal"/>
    <w:rsid w:val="00E45FB9"/>
    <w:pPr>
      <w:tabs>
        <w:tab w:val="left" w:pos="4253"/>
        <w:tab w:val="left" w:pos="4962"/>
        <w:tab w:val="left" w:pos="6804"/>
      </w:tabs>
      <w:spacing w:line="260" w:lineRule="exact"/>
      <w:ind w:left="57" w:right="57"/>
      <w:jc w:val="both"/>
    </w:pPr>
    <w:rPr>
      <w:rFonts w:ascii="Verdana" w:hAnsi="Verdana"/>
      <w:noProof/>
      <w:sz w:val="18"/>
      <w:szCs w:val="18"/>
      <w:lang w:val="es-ES"/>
    </w:rPr>
  </w:style>
  <w:style w:type="paragraph" w:styleId="FootnoteText">
    <w:name w:val="footnote text"/>
    <w:basedOn w:val="Normal"/>
    <w:semiHidden/>
    <w:rsid w:val="00C04FAC"/>
    <w:rPr>
      <w:sz w:val="20"/>
    </w:rPr>
  </w:style>
  <w:style w:type="character" w:styleId="FootnoteReference">
    <w:name w:val="footnote reference"/>
    <w:semiHidden/>
    <w:rsid w:val="00C04FAC"/>
    <w:rPr>
      <w:vertAlign w:val="superscript"/>
    </w:rPr>
  </w:style>
  <w:style w:type="character" w:styleId="Hyperlink">
    <w:name w:val="Hyperlink"/>
    <w:rsid w:val="008D29FE"/>
    <w:rPr>
      <w:color w:val="0000FF"/>
      <w:u w:val="single"/>
    </w:rPr>
  </w:style>
  <w:style w:type="paragraph" w:customStyle="1" w:styleId="Default">
    <w:name w:val="Default"/>
    <w:link w:val="DefaultChar"/>
    <w:rsid w:val="00567B52"/>
    <w:pPr>
      <w:autoSpaceDE w:val="0"/>
      <w:autoSpaceDN w:val="0"/>
      <w:adjustRightInd w:val="0"/>
    </w:pPr>
    <w:rPr>
      <w:rFonts w:eastAsia="Calibri"/>
      <w:color w:val="000000"/>
      <w:sz w:val="24"/>
      <w:szCs w:val="24"/>
    </w:rPr>
  </w:style>
  <w:style w:type="character" w:customStyle="1" w:styleId="DefaultChar">
    <w:name w:val="Default Char"/>
    <w:basedOn w:val="DefaultParagraphFont"/>
    <w:link w:val="Default"/>
    <w:rsid w:val="00567B52"/>
    <w:rPr>
      <w:rFonts w:eastAsia="Calibri"/>
      <w:color w:val="000000"/>
      <w:sz w:val="24"/>
      <w:szCs w:val="24"/>
      <w:lang w:val="en-US" w:eastAsia="en-US" w:bidi="ar-SA"/>
    </w:rPr>
  </w:style>
  <w:style w:type="character" w:styleId="CommentReference">
    <w:name w:val="annotation reference"/>
    <w:basedOn w:val="DefaultParagraphFont"/>
    <w:uiPriority w:val="99"/>
    <w:rsid w:val="00A52787"/>
    <w:rPr>
      <w:sz w:val="16"/>
      <w:szCs w:val="16"/>
    </w:rPr>
  </w:style>
  <w:style w:type="paragraph" w:styleId="CommentText">
    <w:name w:val="annotation text"/>
    <w:basedOn w:val="Normal"/>
    <w:link w:val="CommentTextChar"/>
    <w:uiPriority w:val="99"/>
    <w:rsid w:val="00A52787"/>
    <w:rPr>
      <w:sz w:val="20"/>
    </w:rPr>
  </w:style>
  <w:style w:type="character" w:customStyle="1" w:styleId="CommentTextChar">
    <w:name w:val="Comment Text Char"/>
    <w:basedOn w:val="DefaultParagraphFont"/>
    <w:link w:val="CommentText"/>
    <w:uiPriority w:val="99"/>
    <w:rsid w:val="00A52787"/>
    <w:rPr>
      <w:lang w:val="fr-CA" w:eastAsia="es-ES"/>
    </w:rPr>
  </w:style>
  <w:style w:type="paragraph" w:styleId="CommentSubject">
    <w:name w:val="annotation subject"/>
    <w:basedOn w:val="CommentText"/>
    <w:next w:val="CommentText"/>
    <w:link w:val="CommentSubjectChar"/>
    <w:rsid w:val="00A52787"/>
    <w:rPr>
      <w:b/>
      <w:bCs/>
    </w:rPr>
  </w:style>
  <w:style w:type="character" w:customStyle="1" w:styleId="CommentSubjectChar">
    <w:name w:val="Comment Subject Char"/>
    <w:basedOn w:val="CommentTextChar"/>
    <w:link w:val="CommentSubject"/>
    <w:rsid w:val="00A52787"/>
    <w:rPr>
      <w:b/>
      <w:bCs/>
      <w:lang w:val="fr-CA" w:eastAsia="es-ES"/>
    </w:rPr>
  </w:style>
  <w:style w:type="paragraph" w:styleId="Revision">
    <w:name w:val="Revision"/>
    <w:hidden/>
    <w:uiPriority w:val="99"/>
    <w:semiHidden/>
    <w:rsid w:val="00A52787"/>
    <w:rPr>
      <w:sz w:val="24"/>
      <w:lang w:val="fr-CA" w:eastAsia="es-ES"/>
    </w:rPr>
  </w:style>
  <w:style w:type="paragraph" w:styleId="BalloonText">
    <w:name w:val="Balloon Text"/>
    <w:basedOn w:val="Normal"/>
    <w:link w:val="BalloonTextChar"/>
    <w:rsid w:val="00A52787"/>
    <w:rPr>
      <w:rFonts w:ascii="Tahoma" w:hAnsi="Tahoma" w:cs="Tahoma"/>
      <w:sz w:val="16"/>
      <w:szCs w:val="16"/>
    </w:rPr>
  </w:style>
  <w:style w:type="character" w:customStyle="1" w:styleId="BalloonTextChar">
    <w:name w:val="Balloon Text Char"/>
    <w:basedOn w:val="DefaultParagraphFont"/>
    <w:link w:val="BalloonText"/>
    <w:rsid w:val="00A52787"/>
    <w:rPr>
      <w:rFonts w:ascii="Tahoma" w:hAnsi="Tahoma" w:cs="Tahoma"/>
      <w:sz w:val="16"/>
      <w:szCs w:val="16"/>
      <w:lang w:val="fr-CA" w:eastAsia="es-ES"/>
    </w:rPr>
  </w:style>
  <w:style w:type="paragraph" w:customStyle="1" w:styleId="SalehProyectoTesisFormatting">
    <w:name w:val="SalehProyectoTesis Formatting"/>
    <w:basedOn w:val="Normal"/>
    <w:link w:val="SalehProyectoTesisFormattingChar"/>
    <w:qFormat/>
    <w:rsid w:val="00071623"/>
    <w:pPr>
      <w:spacing w:line="480" w:lineRule="auto"/>
      <w:ind w:firstLine="720"/>
      <w:jc w:val="both"/>
    </w:pPr>
    <w:rPr>
      <w:rFonts w:eastAsia="Calibri"/>
      <w:szCs w:val="24"/>
      <w:lang w:val="en-US" w:eastAsia="en-US"/>
    </w:rPr>
  </w:style>
  <w:style w:type="paragraph" w:styleId="EndnoteText">
    <w:name w:val="endnote text"/>
    <w:basedOn w:val="Normal"/>
    <w:link w:val="EndnoteTextChar"/>
    <w:rsid w:val="00620192"/>
    <w:rPr>
      <w:sz w:val="20"/>
    </w:rPr>
  </w:style>
  <w:style w:type="character" w:customStyle="1" w:styleId="SalehProyectoTesisFormattingChar">
    <w:name w:val="SalehProyectoTesis Formatting Char"/>
    <w:basedOn w:val="DefaultParagraphFont"/>
    <w:link w:val="SalehProyectoTesisFormatting"/>
    <w:rsid w:val="00071623"/>
    <w:rPr>
      <w:rFonts w:ascii="Times New Roman" w:eastAsia="Calibri" w:hAnsi="Times New Roman" w:cs="Times New Roman"/>
      <w:sz w:val="24"/>
      <w:szCs w:val="24"/>
    </w:rPr>
  </w:style>
  <w:style w:type="character" w:customStyle="1" w:styleId="EndnoteTextChar">
    <w:name w:val="Endnote Text Char"/>
    <w:basedOn w:val="DefaultParagraphFont"/>
    <w:link w:val="EndnoteText"/>
    <w:rsid w:val="00620192"/>
    <w:rPr>
      <w:lang w:val="fr-CA" w:eastAsia="es-ES"/>
    </w:rPr>
  </w:style>
  <w:style w:type="character" w:styleId="EndnoteReference">
    <w:name w:val="endnote reference"/>
    <w:basedOn w:val="DefaultParagraphFont"/>
    <w:rsid w:val="00620192"/>
    <w:rPr>
      <w:vertAlign w:val="superscript"/>
    </w:rPr>
  </w:style>
  <w:style w:type="paragraph" w:styleId="Header">
    <w:name w:val="header"/>
    <w:basedOn w:val="Normal"/>
    <w:link w:val="HeaderChar"/>
    <w:uiPriority w:val="99"/>
    <w:rsid w:val="002E1282"/>
    <w:pPr>
      <w:tabs>
        <w:tab w:val="center" w:pos="4680"/>
        <w:tab w:val="right" w:pos="9360"/>
      </w:tabs>
    </w:pPr>
  </w:style>
  <w:style w:type="character" w:customStyle="1" w:styleId="HeaderChar">
    <w:name w:val="Header Char"/>
    <w:basedOn w:val="DefaultParagraphFont"/>
    <w:link w:val="Header"/>
    <w:uiPriority w:val="99"/>
    <w:rsid w:val="002E1282"/>
    <w:rPr>
      <w:sz w:val="24"/>
      <w:lang w:val="fr-CA" w:eastAsia="es-ES"/>
    </w:rPr>
  </w:style>
  <w:style w:type="paragraph" w:styleId="ListParagraph">
    <w:name w:val="List Paragraph"/>
    <w:basedOn w:val="Normal"/>
    <w:link w:val="ListParagraphChar"/>
    <w:uiPriority w:val="34"/>
    <w:qFormat/>
    <w:rsid w:val="00425019"/>
    <w:pPr>
      <w:spacing w:after="160" w:line="259" w:lineRule="auto"/>
      <w:ind w:left="720"/>
      <w:contextualSpacing/>
    </w:pPr>
    <w:rPr>
      <w:rFonts w:eastAsia="Calibri" w:cs="Arial"/>
      <w:szCs w:val="22"/>
      <w:lang w:val="en-US" w:eastAsia="en-US"/>
    </w:rPr>
  </w:style>
  <w:style w:type="character" w:customStyle="1" w:styleId="ListParagraphChar">
    <w:name w:val="List Paragraph Char"/>
    <w:link w:val="ListParagraph"/>
    <w:uiPriority w:val="34"/>
    <w:rsid w:val="00425019"/>
    <w:rPr>
      <w:rFonts w:eastAsia="Calibri" w:cs="Arial"/>
      <w:sz w:val="24"/>
      <w:szCs w:val="22"/>
    </w:rPr>
  </w:style>
  <w:style w:type="character" w:styleId="Emphasis">
    <w:name w:val="Emphasis"/>
    <w:basedOn w:val="DefaultParagraphFont"/>
    <w:uiPriority w:val="20"/>
    <w:qFormat/>
    <w:rsid w:val="008E2D35"/>
    <w:rPr>
      <w:i/>
      <w:iCs/>
    </w:rPr>
  </w:style>
  <w:style w:type="character" w:styleId="PlaceholderText">
    <w:name w:val="Placeholder Text"/>
    <w:basedOn w:val="DefaultParagraphFont"/>
    <w:uiPriority w:val="99"/>
    <w:semiHidden/>
    <w:rsid w:val="009767F6"/>
    <w:rPr>
      <w:color w:val="808080"/>
    </w:rPr>
  </w:style>
  <w:style w:type="character" w:customStyle="1" w:styleId="FooterChar">
    <w:name w:val="Footer Char"/>
    <w:basedOn w:val="DefaultParagraphFont"/>
    <w:link w:val="Footer"/>
    <w:uiPriority w:val="99"/>
    <w:rsid w:val="008060BA"/>
    <w:rPr>
      <w:lang w:val="es-ES_tradnl" w:eastAsia="es-ES"/>
    </w:rPr>
  </w:style>
  <w:style w:type="character" w:styleId="UnresolvedMention">
    <w:name w:val="Unresolved Mention"/>
    <w:basedOn w:val="DefaultParagraphFont"/>
    <w:uiPriority w:val="99"/>
    <w:semiHidden/>
    <w:unhideWhenUsed/>
    <w:rsid w:val="009C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44186">
      <w:bodyDiv w:val="1"/>
      <w:marLeft w:val="0"/>
      <w:marRight w:val="0"/>
      <w:marTop w:val="0"/>
      <w:marBottom w:val="0"/>
      <w:divBdr>
        <w:top w:val="none" w:sz="0" w:space="0" w:color="auto"/>
        <w:left w:val="none" w:sz="0" w:space="0" w:color="auto"/>
        <w:bottom w:val="none" w:sz="0" w:space="0" w:color="auto"/>
        <w:right w:val="none" w:sz="0" w:space="0" w:color="auto"/>
      </w:divBdr>
      <w:divsChild>
        <w:div w:id="360663743">
          <w:marLeft w:val="1166"/>
          <w:marRight w:val="0"/>
          <w:marTop w:val="0"/>
          <w:marBottom w:val="0"/>
          <w:divBdr>
            <w:top w:val="none" w:sz="0" w:space="0" w:color="auto"/>
            <w:left w:val="none" w:sz="0" w:space="0" w:color="auto"/>
            <w:bottom w:val="none" w:sz="0" w:space="0" w:color="auto"/>
            <w:right w:val="none" w:sz="0" w:space="0" w:color="auto"/>
          </w:divBdr>
        </w:div>
        <w:div w:id="429741312">
          <w:marLeft w:val="1166"/>
          <w:marRight w:val="0"/>
          <w:marTop w:val="0"/>
          <w:marBottom w:val="0"/>
          <w:divBdr>
            <w:top w:val="none" w:sz="0" w:space="0" w:color="auto"/>
            <w:left w:val="none" w:sz="0" w:space="0" w:color="auto"/>
            <w:bottom w:val="none" w:sz="0" w:space="0" w:color="auto"/>
            <w:right w:val="none" w:sz="0" w:space="0" w:color="auto"/>
          </w:divBdr>
        </w:div>
      </w:divsChild>
    </w:div>
    <w:div w:id="288441790">
      <w:bodyDiv w:val="1"/>
      <w:marLeft w:val="0"/>
      <w:marRight w:val="0"/>
      <w:marTop w:val="0"/>
      <w:marBottom w:val="0"/>
      <w:divBdr>
        <w:top w:val="none" w:sz="0" w:space="0" w:color="auto"/>
        <w:left w:val="none" w:sz="0" w:space="0" w:color="auto"/>
        <w:bottom w:val="none" w:sz="0" w:space="0" w:color="auto"/>
        <w:right w:val="none" w:sz="0" w:space="0" w:color="auto"/>
      </w:divBdr>
    </w:div>
    <w:div w:id="334461083">
      <w:bodyDiv w:val="1"/>
      <w:marLeft w:val="0"/>
      <w:marRight w:val="0"/>
      <w:marTop w:val="0"/>
      <w:marBottom w:val="0"/>
      <w:divBdr>
        <w:top w:val="none" w:sz="0" w:space="0" w:color="auto"/>
        <w:left w:val="none" w:sz="0" w:space="0" w:color="auto"/>
        <w:bottom w:val="none" w:sz="0" w:space="0" w:color="auto"/>
        <w:right w:val="none" w:sz="0" w:space="0" w:color="auto"/>
      </w:divBdr>
    </w:div>
    <w:div w:id="529681223">
      <w:bodyDiv w:val="1"/>
      <w:marLeft w:val="0"/>
      <w:marRight w:val="0"/>
      <w:marTop w:val="0"/>
      <w:marBottom w:val="0"/>
      <w:divBdr>
        <w:top w:val="none" w:sz="0" w:space="0" w:color="auto"/>
        <w:left w:val="none" w:sz="0" w:space="0" w:color="auto"/>
        <w:bottom w:val="none" w:sz="0" w:space="0" w:color="auto"/>
        <w:right w:val="none" w:sz="0" w:space="0" w:color="auto"/>
      </w:divBdr>
    </w:div>
    <w:div w:id="639650422">
      <w:bodyDiv w:val="1"/>
      <w:marLeft w:val="0"/>
      <w:marRight w:val="0"/>
      <w:marTop w:val="0"/>
      <w:marBottom w:val="0"/>
      <w:divBdr>
        <w:top w:val="none" w:sz="0" w:space="0" w:color="auto"/>
        <w:left w:val="none" w:sz="0" w:space="0" w:color="auto"/>
        <w:bottom w:val="none" w:sz="0" w:space="0" w:color="auto"/>
        <w:right w:val="none" w:sz="0" w:space="0" w:color="auto"/>
      </w:divBdr>
    </w:div>
    <w:div w:id="681857936">
      <w:bodyDiv w:val="1"/>
      <w:marLeft w:val="0"/>
      <w:marRight w:val="0"/>
      <w:marTop w:val="0"/>
      <w:marBottom w:val="0"/>
      <w:divBdr>
        <w:top w:val="none" w:sz="0" w:space="0" w:color="auto"/>
        <w:left w:val="none" w:sz="0" w:space="0" w:color="auto"/>
        <w:bottom w:val="none" w:sz="0" w:space="0" w:color="auto"/>
        <w:right w:val="none" w:sz="0" w:space="0" w:color="auto"/>
      </w:divBdr>
    </w:div>
    <w:div w:id="687030147">
      <w:bodyDiv w:val="1"/>
      <w:marLeft w:val="0"/>
      <w:marRight w:val="0"/>
      <w:marTop w:val="0"/>
      <w:marBottom w:val="0"/>
      <w:divBdr>
        <w:top w:val="none" w:sz="0" w:space="0" w:color="auto"/>
        <w:left w:val="none" w:sz="0" w:space="0" w:color="auto"/>
        <w:bottom w:val="none" w:sz="0" w:space="0" w:color="auto"/>
        <w:right w:val="none" w:sz="0" w:space="0" w:color="auto"/>
      </w:divBdr>
    </w:div>
    <w:div w:id="1404833331">
      <w:bodyDiv w:val="1"/>
      <w:marLeft w:val="0"/>
      <w:marRight w:val="0"/>
      <w:marTop w:val="0"/>
      <w:marBottom w:val="0"/>
      <w:divBdr>
        <w:top w:val="none" w:sz="0" w:space="0" w:color="auto"/>
        <w:left w:val="none" w:sz="0" w:space="0" w:color="auto"/>
        <w:bottom w:val="none" w:sz="0" w:space="0" w:color="auto"/>
        <w:right w:val="none" w:sz="0" w:space="0" w:color="auto"/>
      </w:divBdr>
    </w:div>
    <w:div w:id="19516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8D3159-76E8-0D47-9288-5EE86FDDC95C}">
  <ds:schemaRefs>
    <ds:schemaRef ds:uri="http://schemas.openxmlformats.org/officeDocument/2006/bibliography"/>
  </ds:schemaRefs>
</ds:datastoreItem>
</file>

<file path=customXml/itemProps2.xml><?xml version="1.0" encoding="utf-8"?>
<ds:datastoreItem xmlns:ds="http://schemas.openxmlformats.org/officeDocument/2006/customXml" ds:itemID="{ED382D4A-BADF-A343-985C-28A7B548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24</Pages>
  <Words>10407</Words>
  <Characters>60778</Characters>
  <Application>Microsoft Office Word</Application>
  <DocSecurity>0</DocSecurity>
  <Lines>1321</Lines>
  <Paragraphs>484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Convocatoria de ayudas de Proyectos de Investigación (2004)</vt:lpstr>
      <vt:lpstr>Convocatoria de ayudas de Proyectos de Investigación (2004)</vt:lpstr>
    </vt:vector>
  </TitlesOfParts>
  <Company>MCYT</Company>
  <LinksUpToDate>false</LinksUpToDate>
  <CharactersWithSpaces>70701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ayudas de Proyectos de Investigación (2004)</dc:title>
  <dc:subject/>
  <dc:creator>AGM4</dc:creator>
  <cp:keywords/>
  <dc:description/>
  <cp:lastModifiedBy>Saleh Farazi</cp:lastModifiedBy>
  <cp:revision>5</cp:revision>
  <cp:lastPrinted>2008-01-15T15:03:00Z</cp:lastPrinted>
  <dcterms:created xsi:type="dcterms:W3CDTF">2018-12-01T02:56:00Z</dcterms:created>
  <dcterms:modified xsi:type="dcterms:W3CDTF">2018-12-01T03:43:00Z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b6541847-377c-3e9a-bfb6-543ca448f593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